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EC62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4A7955" wp14:editId="651D7131">
            <wp:extent cx="2152650" cy="717550"/>
            <wp:effectExtent l="0" t="0" r="0" b="0"/>
            <wp:docPr id="505436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36260" name="Picture 5054362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6" cy="71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3567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ЕКОНОМСКИ ФАКУЛТЕТ</w:t>
      </w:r>
    </w:p>
    <w:p w14:paraId="5558AD66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600FAFF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A9D36B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4206DFD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410FF3A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B1C3121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395AFC1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084671E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ИЗВЈЕШТАЈ </w:t>
      </w:r>
    </w:p>
    <w:p w14:paraId="7274A1DE" w14:textId="1B9EC6B6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САМОЕВАЛУАЦИЈИ СТУДИЈСКОГ ПРОГРАМА</w:t>
      </w:r>
      <w:r w:rsidR="00465B1F"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СТУДИЈА</w:t>
      </w:r>
      <w:r w:rsidR="00E63129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ПРВОГ ЦИКЛУСА </w:t>
      </w:r>
      <w:r w:rsidR="00031C4A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РАЧУНОВОДСТВО И РЕВИЗИЈА</w:t>
      </w:r>
      <w:r w:rsidR="00E63129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180</w:t>
      </w:r>
    </w:p>
    <w:p w14:paraId="7F72B5C9" w14:textId="4783F1DB" w:rsidR="00F40603" w:rsidRPr="007279E7" w:rsidRDefault="00426B70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7279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F40603"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АКАДЕМСК</w:t>
      </w: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F40603"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</w:t>
      </w: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092109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/2</w:t>
      </w:r>
      <w:r w:rsidR="00092109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</w:p>
    <w:p w14:paraId="6EB4DA3A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24C6CD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EB7752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4D5E41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25B8CF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2FA4D4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D34BBB" w14:textId="77777777" w:rsidR="00F40603" w:rsidRPr="007279E7" w:rsidRDefault="00F40603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547A10" w14:textId="171F7688" w:rsidR="00F40603" w:rsidRPr="007279E7" w:rsidRDefault="00A576C6" w:rsidP="00C95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Децембар, </w:t>
      </w:r>
      <w:r w:rsidR="00F40603"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F40603" w:rsidRPr="007279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F40603"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426B70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F40603"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године </w:t>
      </w:r>
    </w:p>
    <w:p w14:paraId="5B74F1C6" w14:textId="274BA393" w:rsidR="00F40603" w:rsidRPr="007279E7" w:rsidRDefault="00F40603" w:rsidP="00C958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Извјештај је резултат рада Тима за интерну самоевалуацију Студијског програма </w:t>
      </w:r>
      <w:r w:rsidR="00E63129" w:rsidRPr="007279E7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првог циклуса</w:t>
      </w:r>
      <w:r w:rsidR="00E63129" w:rsidRPr="007279E7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r w:rsidR="00031C4A" w:rsidRPr="007279E7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РАЧУНОВОДСТВО И РЕВИЗИЈА</w:t>
      </w:r>
      <w:r w:rsidR="00E63129" w:rsidRPr="007279E7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 180 </w:t>
      </w:r>
      <w:r w:rsidRPr="007279E7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ECTS,</w:t>
      </w:r>
      <w:r w:rsidRPr="007279E7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(Одлука о формирању тима за интерну самоевалуацију број: </w:t>
      </w:r>
      <w:r w:rsidR="00A576C6" w:rsidRPr="00B53C8C">
        <w:rPr>
          <w:rFonts w:ascii="Times New Roman" w:hAnsi="Times New Roman" w:cs="Times New Roman"/>
          <w:sz w:val="24"/>
          <w:szCs w:val="24"/>
          <w:lang w:val="ru-RU"/>
        </w:rPr>
        <w:t xml:space="preserve">580-01-6/23  од 23.11.2023. 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>саставу:</w:t>
      </w:r>
    </w:p>
    <w:p w14:paraId="306C3097" w14:textId="77777777" w:rsidR="00F40603" w:rsidRPr="007279E7" w:rsidRDefault="00F40603" w:rsidP="00C9583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CD5B0E" w14:textId="77777777" w:rsidR="00A576C6" w:rsidRPr="00B53C8C" w:rsidRDefault="00A576C6" w:rsidP="00A576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3C8C">
        <w:rPr>
          <w:rFonts w:ascii="Times New Roman" w:hAnsi="Times New Roman" w:cs="Times New Roman"/>
          <w:sz w:val="24"/>
          <w:szCs w:val="24"/>
          <w:lang w:val="ru-RU"/>
        </w:rPr>
        <w:t>1. проф. др Ружица Ђервида</w:t>
      </w:r>
    </w:p>
    <w:p w14:paraId="502B0BD1" w14:textId="77777777" w:rsidR="00A576C6" w:rsidRPr="00B53C8C" w:rsidRDefault="00A576C6" w:rsidP="00A576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3C8C">
        <w:rPr>
          <w:rFonts w:ascii="Times New Roman" w:hAnsi="Times New Roman" w:cs="Times New Roman"/>
          <w:sz w:val="24"/>
          <w:szCs w:val="24"/>
          <w:lang w:val="ru-RU"/>
        </w:rPr>
        <w:t>2. проф. др Милица Лакић</w:t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E7121B3" w14:textId="77777777" w:rsidR="00A576C6" w:rsidRPr="00B53C8C" w:rsidRDefault="00A576C6" w:rsidP="00A576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3C8C">
        <w:rPr>
          <w:rFonts w:ascii="Times New Roman" w:hAnsi="Times New Roman" w:cs="Times New Roman"/>
          <w:sz w:val="24"/>
          <w:szCs w:val="24"/>
          <w:lang w:val="ru-RU"/>
        </w:rPr>
        <w:t>3. проф. др Саша Чекрлија</w:t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526A285" w14:textId="77777777" w:rsidR="00A576C6" w:rsidRPr="00B53C8C" w:rsidRDefault="00A576C6" w:rsidP="00A576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3C8C">
        <w:rPr>
          <w:rFonts w:ascii="Times New Roman" w:hAnsi="Times New Roman" w:cs="Times New Roman"/>
          <w:sz w:val="24"/>
          <w:szCs w:val="24"/>
          <w:lang w:val="ru-RU"/>
        </w:rPr>
        <w:t>4. доц. др Зоран Ђуричић</w:t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635C7FE" w14:textId="77777777" w:rsidR="00A576C6" w:rsidRPr="00B53C8C" w:rsidRDefault="00A576C6" w:rsidP="00A576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3C8C">
        <w:rPr>
          <w:rFonts w:ascii="Times New Roman" w:hAnsi="Times New Roman" w:cs="Times New Roman"/>
          <w:sz w:val="24"/>
          <w:szCs w:val="24"/>
          <w:lang w:val="ru-RU"/>
        </w:rPr>
        <w:t>5. доц. др Милош Грујић</w:t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3C8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50FFA5E" w14:textId="384648E5" w:rsidR="00F40603" w:rsidRPr="007279E7" w:rsidRDefault="00A576C6" w:rsidP="00A576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3C8C">
        <w:rPr>
          <w:rFonts w:ascii="Times New Roman" w:hAnsi="Times New Roman" w:cs="Times New Roman"/>
          <w:sz w:val="24"/>
          <w:szCs w:val="24"/>
          <w:lang w:val="ru-RU"/>
        </w:rPr>
        <w:t>6. Драгица Тепић, студент</w:t>
      </w:r>
    </w:p>
    <w:p w14:paraId="228C21AF" w14:textId="77777777" w:rsidR="00F40603" w:rsidRPr="007279E7" w:rsidRDefault="00F40603" w:rsidP="00C9583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066E88" w14:textId="77777777" w:rsidR="00700EDB" w:rsidRPr="007279E7" w:rsidRDefault="00700EDB" w:rsidP="00C9583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br w:type="page"/>
      </w:r>
    </w:p>
    <w:p w14:paraId="6104BC97" w14:textId="63E26340" w:rsidR="00F40603" w:rsidRPr="007279E7" w:rsidRDefault="00F40603" w:rsidP="00C9583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Садржај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sr-Latn-CS"/>
          <w14:ligatures w14:val="standardContextual"/>
        </w:rPr>
        <w:id w:val="886921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919AB1" w14:textId="122E7472" w:rsidR="00C60077" w:rsidRPr="007279E7" w:rsidRDefault="00C60077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62B06CC" w14:textId="2D98D182" w:rsidR="008F4068" w:rsidRPr="007279E7" w:rsidRDefault="00C60077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7279E7">
            <w:rPr>
              <w:rFonts w:ascii="Times New Roman" w:hAnsi="Times New Roman"/>
              <w:b/>
              <w:bCs/>
              <w:sz w:val="24"/>
              <w:szCs w:val="24"/>
              <w:lang w:val="sr-Latn-CS"/>
            </w:rPr>
            <w:fldChar w:fldCharType="begin"/>
          </w:r>
          <w:r w:rsidRPr="007279E7">
            <w:rPr>
              <w:rFonts w:ascii="Times New Roman" w:hAnsi="Times New Roman"/>
              <w:b/>
              <w:bCs/>
              <w:sz w:val="24"/>
              <w:szCs w:val="24"/>
              <w:lang w:val="sr-Latn-CS"/>
            </w:rPr>
            <w:instrText xml:space="preserve"> TOC \o "1-3" \h \z \u </w:instrText>
          </w:r>
          <w:r w:rsidRPr="007279E7">
            <w:rPr>
              <w:rFonts w:ascii="Times New Roman" w:hAnsi="Times New Roman"/>
              <w:b/>
              <w:bCs/>
              <w:sz w:val="24"/>
              <w:szCs w:val="24"/>
              <w:lang w:val="sr-Latn-CS"/>
            </w:rPr>
            <w:fldChar w:fldCharType="separate"/>
          </w:r>
          <w:hyperlink w:anchor="_Toc141183192" w:history="1">
            <w:r w:rsidR="008F4068" w:rsidRPr="007279E7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8F4068" w:rsidRPr="007279E7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F4068" w:rsidRPr="007279E7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УВОДНИ ДИО</w: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_Toc141183192 \h </w:instrTex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B09EBF" w14:textId="6A0EE6A6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193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Историја и организација високошколске установе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_Toc141183193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C6C8AC" w14:textId="1FC26115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194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Историја </w:t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Економског ф</w:t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акултета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_Toc141183194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0D4CAC" w14:textId="57328CAC" w:rsidR="008F4068" w:rsidRPr="007279E7" w:rsidRDefault="00261BE2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41183195" w:history="1">
            <w:r w:rsidR="008F4068" w:rsidRPr="007279E7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 ПРИСТУПАЊЕ ВИСОКОШКОЛСКЕ УСТАНОВЕ БОЛОЊСКОМ ПРОЦЕСУ И </w:t>
            </w:r>
            <w:r w:rsidR="008F4068" w:rsidRPr="007279E7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ДОСТИЗАЊЕ ЦИЉЕВА ИЗ БОЛОЊСКОГ ПРОЦЕСА</w: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_Toc141183195 \h </w:instrTex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432252" w14:textId="4C7076D7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196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Циклуси образовања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_Toc141183196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89AB3" w14:textId="70EA9BD3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197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ECTS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_Toc141183197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A3A90F" w14:textId="207C4F8A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198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Мобилност студената и наставника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_Toc141183198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996ACF" w14:textId="35C4A758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199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Исходи учења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_Toc141183199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3502E" w14:textId="3845F948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0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Образовни циљеви факултета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_Toc141183200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47CB67" w14:textId="0830B97E" w:rsidR="008F4068" w:rsidRPr="007279E7" w:rsidRDefault="00261BE2">
          <w:pPr>
            <w:pStyle w:val="TOC2"/>
            <w:tabs>
              <w:tab w:val="left" w:pos="11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1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Циљеви знања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_Toc141183201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30E54" w14:textId="4BAE2A8D" w:rsidR="008F4068" w:rsidRPr="007279E7" w:rsidRDefault="00261BE2">
          <w:pPr>
            <w:pStyle w:val="TOC2"/>
            <w:tabs>
              <w:tab w:val="left" w:pos="11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2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Циљеви вјештина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_Toc141183202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9732D" w14:textId="62B640A5" w:rsidR="008F4068" w:rsidRPr="007279E7" w:rsidRDefault="00261BE2">
          <w:pPr>
            <w:pStyle w:val="TOC2"/>
            <w:tabs>
              <w:tab w:val="left" w:pos="11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3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2.5.3.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Циљеви способности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_Toc141183203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A443D6" w14:textId="5F0BD1D4" w:rsidR="008F4068" w:rsidRPr="007279E7" w:rsidRDefault="00261BE2">
          <w:pPr>
            <w:pStyle w:val="TOC2"/>
            <w:tabs>
              <w:tab w:val="left" w:pos="11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4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2.5.4.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Компетенције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_Toc141183204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CB5550" w14:textId="42909665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5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Учешће студената у одлучивању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_Toc141183205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4BF78" w14:textId="5D01366D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6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Наставни процес и научноистраживачки рад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_Toc141183206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823D87" w14:textId="507CE497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7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2.8.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Везе с окружењем, привредом и социјалним партнерима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_Toc141183207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F4335" w14:textId="18D79B63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08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2.9.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Студенти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_Toc141183208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1EF98" w14:textId="7EEA134D" w:rsidR="008F4068" w:rsidRPr="007279E7" w:rsidRDefault="00261BE2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41183209" w:history="1">
            <w:r w:rsidR="008F4068" w:rsidRPr="007279E7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8F4068" w:rsidRPr="007279E7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F4068" w:rsidRPr="007279E7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СТАНДАРДИ СИСТЕМА ОСИГУРАЊА КВАЛИТЕТА</w: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_Toc141183209 \h </w:instrTex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8F4068" w:rsidRPr="007279E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915B8E" w14:textId="768C689C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0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Политика обезбјеђења квалитета студијских програма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_Toc141183210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23F6A" w14:textId="5CB0AFE0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1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Креирање и усвајање студијских програма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_Toc141183211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77D68" w14:textId="6C9B1BBA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2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Структура студијског програма Економија и пословање II циклуса студија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_Toc141183212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2C596" w14:textId="011D6AB7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3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Сврха и циљеви студијског програма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_Toc141183213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B309C0" w14:textId="74CBF1E1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4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Наставни план и програм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_Toc141183214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89C0B3" w14:textId="7E6E378C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5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Компетенције дипломираних студената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_Toc141183215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2647A" w14:textId="1DD3993E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6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Учење, подучавање и вредновање усмјерени на студента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_Toc141183216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560CF" w14:textId="42A27C88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7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Упис и напредовање студената, признавање и сертификовање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_Toc141183217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1F996C" w14:textId="4A1AE49B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8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Упис студената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_Toc141183218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4DB539" w14:textId="162AB7F4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19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Оцјењивање и напредовање студената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_Toc141183219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E489C" w14:textId="0C3010B5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0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Људски потенцијали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_Toc141183220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A48102" w14:textId="5E08A36F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1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Ресурси и финансирање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_Toc141183221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5F8C7" w14:textId="6F81F4FB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2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Управљање информацијама о студијским програмима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_Toc141183222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5B5F9" w14:textId="1F8EF02E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3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Информисање јавности о студијским програмима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_Toc141183223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32D678" w14:textId="71866967" w:rsidR="008F4068" w:rsidRPr="007279E7" w:rsidRDefault="00261BE2">
          <w:pPr>
            <w:pStyle w:val="TOC2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4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Континуирано праћење, периодична евалуација и ревизија студијског програма II циклуса Економија и пословање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_Toc141183224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A783B" w14:textId="007B7D9F" w:rsidR="008F4068" w:rsidRPr="007279E7" w:rsidRDefault="00261BE2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5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8F4068" w:rsidRPr="007279E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Мобилност академског особља и студената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_Toc141183225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369F1" w14:textId="61938E1B" w:rsidR="008F4068" w:rsidRPr="007279E7" w:rsidRDefault="00261BE2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6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ОЦЈЕНА СИСТЕМА ОСИГУРАЊА КВАЛИТЕТА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_Toc141183226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41BCA" w14:textId="394F913A" w:rsidR="008F4068" w:rsidRPr="007279E7" w:rsidRDefault="00261BE2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41183227" w:history="1">
            <w:r w:rsidR="008F4068" w:rsidRPr="007279E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ЗАКЉУЧАК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_Toc141183227 \h </w:instrTex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2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="008F4068" w:rsidRPr="007279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597017" w14:textId="77777777" w:rsidR="00B76FC8" w:rsidRPr="007279E7" w:rsidRDefault="00C60077" w:rsidP="00B76FC8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sr-Latn-CS"/>
            </w:rPr>
          </w:pPr>
          <w:r w:rsidRPr="007279E7">
            <w:rPr>
              <w:rFonts w:ascii="Times New Roman" w:hAnsi="Times New Roman" w:cs="Times New Roman"/>
              <w:b/>
              <w:bCs/>
              <w:sz w:val="24"/>
              <w:szCs w:val="24"/>
              <w:lang w:val="sr-Latn-CS"/>
            </w:rPr>
            <w:fldChar w:fldCharType="end"/>
          </w:r>
        </w:p>
      </w:sdtContent>
    </w:sdt>
    <w:p w14:paraId="616CEC02" w14:textId="33CB2BBB" w:rsidR="00F40603" w:rsidRPr="007279E7" w:rsidRDefault="00F40603" w:rsidP="00B76FC8">
      <w:pPr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br w:type="page"/>
      </w:r>
    </w:p>
    <w:p w14:paraId="51678EB4" w14:textId="099FD38A" w:rsidR="00BF06C5" w:rsidRPr="007279E7" w:rsidRDefault="00BF06C5" w:rsidP="00F73869">
      <w:pPr>
        <w:pStyle w:val="Heading1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41183192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УВОДНИ ДИО</w:t>
      </w:r>
      <w:bookmarkEnd w:id="0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B35EB8B" w14:textId="77777777" w:rsidR="00C60077" w:rsidRPr="007279E7" w:rsidRDefault="00C60077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EF8EF60" w14:textId="543881F8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</w:pPr>
      <w:r w:rsidRPr="00771DF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У складу са Законом о високом образовању Републике Српске (поглавље, Самовредновање и оцјена квалитета), и на основу препоруке Савјета за развој високог образовања и осигурање квалитета Републике Српске, независног савјетодавног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академског тијела, у складу са Уредбом о условима за оснивање и почетак рада високошколских установа и поступку утврђивања испуњености услова,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BA"/>
          <w14:ligatures w14:val="none"/>
        </w:rPr>
        <w:t>Економски ф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акултет је израдио Извјештај о самоевалуацији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  <w:t xml:space="preserve"> за </w:t>
      </w:r>
      <w:r w:rsidR="00426B70" w:rsidRPr="007279E7"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  <w:t>академску 2022/23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  <w:t xml:space="preserve"> годин</w:t>
      </w:r>
      <w:r w:rsidR="00426B70" w:rsidRPr="007279E7"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  <w:t>у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  <w:t>.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Израда Самоевалуационог извјештаја Универзитета подразумијева да је свака организациона јединица у обавези да сачини самоевалуациони извјештај.</w:t>
      </w:r>
    </w:p>
    <w:p w14:paraId="0F0416D6" w14:textId="77777777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Самоевалуациони извјештај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BA"/>
          <w14:ligatures w14:val="none"/>
        </w:rPr>
        <w:t>Економског ф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акултета има двоструку намјену, са једне стране ће помоћи да кроз критичку анализу сагледа своје недостатке и предности, а са друге стране да на тај начин припреми обједињене информације које се могу користити у процесу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bs-Cyrl-BA"/>
          <w14:ligatures w14:val="none"/>
        </w:rPr>
        <w:t>ре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акредитације. Одговорност за припрему самоевалуационог извјештаја препуштена је тиму који, поред искусних наставника, у свом саставу има и друге сараднике из реда административног особља и студената. </w:t>
      </w:r>
    </w:p>
    <w:p w14:paraId="2AECC4DE" w14:textId="49DCF87F" w:rsidR="00BF06C5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Самоевалуациони извјештај може служити као основа за промјене и унапређење наставног процеса, али и као извор информација будућим послодавцима о знањима и вјештинама које студенти стичу на Факултету. Овај документ омогућује Универзитету да провјери квалитет својих програма, а самим тим и диплома које студенти стичу, а такође омогућава читаоцима да стекну тачан увид о стању на Универзитету да би могли да дају оцјену о квалитету установе.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квалитета.</w:t>
      </w:r>
    </w:p>
    <w:p w14:paraId="3D360E48" w14:textId="77777777" w:rsidR="007279E7" w:rsidRPr="007279E7" w:rsidRDefault="007279E7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</w:p>
    <w:p w14:paraId="7AAB1A4F" w14:textId="39F6D655" w:rsidR="00BF06C5" w:rsidRPr="007279E7" w:rsidRDefault="00BF06C5" w:rsidP="00F73869">
      <w:pPr>
        <w:pStyle w:val="Heading2"/>
        <w:numPr>
          <w:ilvl w:val="1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41183193"/>
      <w:r w:rsidRPr="007279E7">
        <w:rPr>
          <w:rFonts w:ascii="Times New Roman" w:hAnsi="Times New Roman" w:cs="Times New Roman"/>
          <w:color w:val="auto"/>
          <w:sz w:val="24"/>
          <w:szCs w:val="24"/>
        </w:rPr>
        <w:t>Историја и организација високошколске установе</w:t>
      </w:r>
      <w:bookmarkEnd w:id="1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B8AA719" w14:textId="77777777" w:rsidR="00AE0AD9" w:rsidRPr="007279E7" w:rsidRDefault="00AE0AD9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7335F73" w14:textId="417297D2" w:rsidR="00485A78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Независни универзитет Бања Лука је основан 2005. године као високошколска установа са називом Факултет за </w:t>
      </w:r>
      <w:r w:rsidR="00947CC0"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друштвене и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политичке науке, а 2007. године проширује се и региструје </w:t>
      </w:r>
      <w:r w:rsidR="00370D2B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као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Универзитет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BA"/>
          <w14:ligatures w14:val="none"/>
        </w:rPr>
        <w:t xml:space="preserve"> под називом Независни универзитет Бања Лука који има за циљ образовање кадрова кроз програме које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је тада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BA"/>
          <w14:ligatures w14:val="none"/>
        </w:rPr>
        <w:t>нудило шест организационих јединица</w:t>
      </w:r>
      <w:r w:rsidRPr="007279E7">
        <w:rPr>
          <w:rFonts w:ascii="Times New Roman" w:eastAsia="Calibri" w:hAnsi="Times New Roman" w:cs="Times New Roman"/>
          <w:b/>
          <w:kern w:val="0"/>
          <w:sz w:val="24"/>
          <w:szCs w:val="24"/>
          <w:lang w:val="sr-Cyrl-BA"/>
          <w14:ligatures w14:val="none"/>
        </w:rPr>
        <w:t xml:space="preserve">.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Основна дјелатност Универзитета је пружање високошколског образовања на студијима првог, другог и трећег циклуса</w:t>
      </w:r>
      <w:r w:rsidR="00947CC0"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,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a oснивач Универзитета је др Зоран Калинић.</w:t>
      </w:r>
    </w:p>
    <w:p w14:paraId="27EF8DD2" w14:textId="64373957" w:rsidR="00485A78" w:rsidRPr="007279E7" w:rsidRDefault="00404C24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</w:t>
      </w:r>
      <w:r w:rsidR="00485A7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овезивањем научно истраживачког рада, умјетничког стваралаштва, образовања, науке, струке и умјетности, као и реализацијом постојећих и нових студијских програма, студенти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се </w:t>
      </w:r>
      <w:r w:rsidR="00485A7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оспособ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љавају</w:t>
      </w:r>
      <w:r w:rsidR="00485A7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за обављање послова у глобалном и технолошки високо развијеном окружењу. Циљеве НУБЛ-а можемо сврстати у неколико сегмената: ојачати улогу </w:t>
      </w:r>
      <w:r w:rsidR="00485A7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Универзитета на националном и међународном нивоу, стално радити на подизању квалитета истраживања, узети учешће у значајним националним и међународним научно – истраживачким и истраживачко – развојним пројектима, те остварити научну изврсност,</w:t>
      </w:r>
      <w:r w:rsidR="00370D2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485A7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препознатљивости и признатост Универзитета и његових факултета.</w:t>
      </w:r>
    </w:p>
    <w:p w14:paraId="51E08C19" w14:textId="29918ECA" w:rsidR="00485A78" w:rsidRPr="007279E7" w:rsidRDefault="00485A78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Знање које је потребно пренијети захтијева врхунске професоре, предаваче и сараднике. Универзитет води рачуна о селекцији, професионалном развоју и усавршавању сваког запосленог. Настава је подржана са најсавременијом информационом и аудиовизуелном технологијом, што студентима олакшава прихватање новог знања, али и посао предавачима. У процесу развоја будућих кадрова значајну улогу имају и наши пословни партнери из окружења – стручњаци из праксе су најуспјешнији експерти и стални су гости</w:t>
      </w:r>
      <w:r w:rsidR="00370D2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предавачи на нашем универзитету. Студенти имају прилику да кроз практичне примјере стичу и провјеравају своја знања. Зато, ако је једном ријечју потребно исказати суштину нашег посла, онда је то развој знања, односа, људи.</w:t>
      </w:r>
    </w:p>
    <w:p w14:paraId="203DA1FD" w14:textId="339B929B" w:rsidR="00485A78" w:rsidRPr="007279E7" w:rsidRDefault="00485A78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Стратегијски циљ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научно – истраживачког рада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је ојачати улогу Универзитета на националном и међународном нивоу подизањем квалитета истраживања, учешћем у значајним националним и међународним научно – истраживачким и истраживачко – развојним пројектима, те остварити научну изврсност, препознатљивости и признатост Универзитета и његових факултета. Како ниједна држава није довољно богата да би истим интензитетом развијала сва истраживачка подручја, природно је да се снажније подстичу они истраживачи и истраживачке групе који су већ раније показали изврсност у раду, али и да се посебно подстичу и стимулишу млади истраживачи и научни радници. Независни универзитет је потписник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споразума о сарадњи са бројним високошколским установама са основним циљем да се осигура ширење и размјена образовног и научног искуства,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високошколске установе у европски образовни систем.</w:t>
      </w:r>
    </w:p>
    <w:p w14:paraId="6AF15DE4" w14:textId="77777777" w:rsidR="001F1A82" w:rsidRPr="007279E7" w:rsidRDefault="001F1A8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Високошколска установа, у консултацијама са заинтересованим странама, израђује стратегију која се формално усваја и јавно је доступна. Стратегија се односи на наставни процес, научноистраживачки и умјетнички рад, допринос развоју друштва, укључујући конкретне и оствариве стратешке циљеве и активности високошколске установе. Високошколска установа има успостављен систем и процедуре за провођење, праћење и даљи развој стратегије и акционих планова.</w:t>
      </w:r>
    </w:p>
    <w:p w14:paraId="48ABD6A9" w14:textId="43641D00" w:rsidR="001F1A82" w:rsidRPr="007279E7" w:rsidRDefault="001F1A8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Институт за научно-истраживцачки рад (ИНИР) представља организациону јединицу унутар Независног универзитета Бања Лука. Научно-истраживачки рад у оквиру Ин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титута односи се на научну активност у областима природних наука, техничко-технолошких наука, друштвено-хуманистичких наука и умјетности. Научно-истраживачки рад на и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ституту а у оквирима Независног универзитета Бања Лука одвија се кроз припрему, реализацију и имплементацију научно-истраживачких пројеката, организацију научних конференција,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трансфер технологија, промоцију науке и кроз научне активности у оквиру образовног процеса.</w:t>
      </w:r>
    </w:p>
    <w:p w14:paraId="76A31F36" w14:textId="0356DB5A" w:rsidR="001F1A82" w:rsidRPr="007279E7" w:rsidRDefault="001F1A82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Институт за научно-истраживачки рад (ИНИР)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 учествује у изради стратешких докумената. Допринос се огледа у приједлогу активности које су у складу са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научноистраживачки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умјетнички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рад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ом.</w:t>
      </w:r>
    </w:p>
    <w:p w14:paraId="04D00774" w14:textId="72158C58" w:rsidR="00485A78" w:rsidRPr="00FC5C16" w:rsidRDefault="00485A78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Мисија</w:t>
      </w:r>
      <w:r w:rsidR="00FC5C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5C16" w:rsidRPr="00FC5C16">
        <w:rPr>
          <w:rFonts w:ascii="Times New Roman" w:hAnsi="Times New Roman" w:cs="Times New Roman"/>
          <w:bCs/>
          <w:sz w:val="24"/>
          <w:szCs w:val="24"/>
          <w:lang w:val="ru-RU"/>
        </w:rPr>
        <w:t>Универзитета је повезивање научно-истраживачког рада, умјетничког стваралаштва, образовања, науке, струке и умјетности, реализацијом постојећих и нових студијских програма, оспособити студенте за обављање послова у глобалном и технолошки високо развијеном окружењу, који захтијевају стално стицање и развијање нових знања, иницијативност и иновативност, предузетничку способност, способност доношења одлука у недостатку времена, способност рада у условима различитости, у сврху постизања индивидуалних, универзитетских и друштвених интереса.</w:t>
      </w:r>
    </w:p>
    <w:p w14:paraId="02B3536F" w14:textId="4A6F4DE1" w:rsidR="00485A78" w:rsidRPr="007279E7" w:rsidRDefault="00485A78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Визија</w:t>
      </w:r>
      <w:r w:rsidR="00404C24" w:rsidRPr="007279E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404C24" w:rsidRPr="007279E7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Независног </w:t>
      </w:r>
      <w:r w:rsidR="00370D2B" w:rsidRPr="007279E7">
        <w:rPr>
          <w:rFonts w:ascii="Times New Roman" w:hAnsi="Times New Roman" w:cs="Times New Roman"/>
          <w:bCs/>
          <w:sz w:val="24"/>
          <w:szCs w:val="24"/>
          <w:lang w:val="sr-Cyrl-BA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ниверзитет</w:t>
      </w:r>
      <w:r w:rsidR="00404C24" w:rsidRPr="007279E7">
        <w:rPr>
          <w:rFonts w:ascii="Times New Roman" w:hAnsi="Times New Roman" w:cs="Times New Roman"/>
          <w:sz w:val="24"/>
          <w:szCs w:val="24"/>
          <w:lang w:val="sr-Cyrl-BA"/>
        </w:rPr>
        <w:t>а Бања Лука,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C24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као </w:t>
      </w:r>
      <w:r w:rsidR="003F4C97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препознатљивог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универзитет</w:t>
      </w:r>
      <w:r w:rsidR="00404C24" w:rsidRPr="007279E7">
        <w:rPr>
          <w:rFonts w:ascii="Times New Roman" w:hAnsi="Times New Roman" w:cs="Times New Roman"/>
          <w:sz w:val="24"/>
          <w:szCs w:val="24"/>
          <w:lang w:val="sr-Cyrl-BA"/>
        </w:rPr>
        <w:t>а, је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усресређен</w:t>
      </w:r>
      <w:r w:rsidR="00404C24" w:rsidRPr="007279E7">
        <w:rPr>
          <w:rFonts w:ascii="Times New Roman" w:hAnsi="Times New Roman" w:cs="Times New Roman"/>
          <w:sz w:val="24"/>
          <w:szCs w:val="24"/>
          <w:lang w:val="sr-Cyrl-BA"/>
        </w:rPr>
        <w:t>ост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на студенте гдје вриједни студенти, смјели лидери, ангажовани професори научници, иноватори и активни грађани ослобађају моћ заједничког открића. 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Визија је с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ара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дња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са кључним организацијама 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рад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Бања Лука, Републи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Српск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БиХ, регион</w:t>
      </w:r>
      <w:r w:rsidR="003F4C97" w:rsidRPr="007279E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затим са универзитетима широм свијета ради попбољшања добробити људи. Учимо из низа стеченх искустава и стручне праксе и стварамо значајне промјене како бисмо одговорили на савремене изазове друштва.</w:t>
      </w:r>
    </w:p>
    <w:p w14:paraId="7413F83B" w14:textId="1A3784AC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Издавачка дјелатност на НУБЛ-у почиње већ по оснивању, а до сада је објављено </w:t>
      </w:r>
      <w:r w:rsidR="006A37AE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BA"/>
          <w14:ligatures w14:val="none"/>
        </w:rPr>
        <w:t xml:space="preserve">више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научних књига, уџбеника, монографија и часописа из области историје, економије, права, политичких наука, екологије, књижевности и сл. Посебно треба истаћи међународну сарадњу и научни часпопис „Сварог“ у којем своје научне радове објављују </w:t>
      </w:r>
      <w:r w:rsidR="003F4C97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бројни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истраживачи из Републике Српске, БиХ и региона. </w:t>
      </w:r>
    </w:p>
    <w:p w14:paraId="3B7AEA90" w14:textId="2FF0FCED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b/>
          <w:kern w:val="0"/>
          <w:sz w:val="24"/>
          <w:szCs w:val="24"/>
          <w:lang w:val="sr-Latn-BA"/>
          <w14:ligatures w14:val="none"/>
        </w:rPr>
        <w:t>Организациона шема</w:t>
      </w:r>
    </w:p>
    <w:p w14:paraId="5DEEE3E5" w14:textId="043C39CC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Независни </w:t>
      </w:r>
      <w:r w:rsidR="00370D2B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у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ниверзитет Бања Лука је </w:t>
      </w:r>
      <w:r w:rsidR="003F4C97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високошколска институција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усмјерена ка </w:t>
      </w:r>
      <w:r w:rsidR="003F4C97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истраживању, 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образовању и учењу, </w:t>
      </w:r>
      <w:r w:rsidR="003F4C97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критичком размишљању и стицању знања и вјештина у апликативном облику усаглашеном са потребама тржишта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. Савремени концепт образовања на НУБЛ-у заснован је на принципима на којима се успоставља јединствен европски простор високог образовања, утврђен у декларацијама Болоње и Лисабона. </w:t>
      </w:r>
    </w:p>
    <w:p w14:paraId="30A9AC4C" w14:textId="77777777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Универзитет у свом саставу има сљедеће организационе јединице:</w:t>
      </w:r>
    </w:p>
    <w:p w14:paraId="7843ACDB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Економски факултет</w:t>
      </w:r>
    </w:p>
    <w:p w14:paraId="574B582D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Педагошки факултет</w:t>
      </w:r>
    </w:p>
    <w:p w14:paraId="008291B0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Факултет за политичке науке</w:t>
      </w:r>
    </w:p>
    <w:p w14:paraId="2C1BD086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Факултет за информатику</w:t>
      </w:r>
    </w:p>
    <w:p w14:paraId="421B7860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Факултет за екологију</w:t>
      </w:r>
    </w:p>
    <w:p w14:paraId="32E5DC18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lastRenderedPageBreak/>
        <w:t>Факултет лијепих умјетности</w:t>
      </w:r>
    </w:p>
    <w:p w14:paraId="37396561" w14:textId="77777777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Факултет за безбједност и заштиту</w:t>
      </w:r>
    </w:p>
    <w:p w14:paraId="2FF2F9DB" w14:textId="29FD12BC" w:rsidR="00BF06C5" w:rsidRPr="007279E7" w:rsidRDefault="00BF06C5" w:rsidP="00F73869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Институт </w:t>
      </w:r>
      <w:r w:rsidR="006417B7"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за</w:t>
      </w: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 xml:space="preserve"> научно истраживачки рад</w:t>
      </w:r>
    </w:p>
    <w:p w14:paraId="3166DA8D" w14:textId="77777777" w:rsidR="00370D2B" w:rsidRPr="007279E7" w:rsidRDefault="00370D2B" w:rsidP="00641B3D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</w:p>
    <w:p w14:paraId="17680234" w14:textId="4E0BAFDF" w:rsidR="00BF06C5" w:rsidRPr="007279E7" w:rsidRDefault="00BF06C5" w:rsidP="00641B3D">
      <w:p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Стручне службе Универзитета су:</w:t>
      </w:r>
    </w:p>
    <w:p w14:paraId="0C294ED9" w14:textId="77777777" w:rsidR="00BF06C5" w:rsidRPr="007279E7" w:rsidRDefault="00BF06C5" w:rsidP="00F73869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Секретаријат Универзитета</w:t>
      </w:r>
    </w:p>
    <w:p w14:paraId="27C29906" w14:textId="77777777" w:rsidR="00BF06C5" w:rsidRPr="007279E7" w:rsidRDefault="00BF06C5" w:rsidP="00F73869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Сектор за финансијске и опште послове</w:t>
      </w:r>
    </w:p>
    <w:p w14:paraId="6F754BE0" w14:textId="77777777" w:rsidR="00BF06C5" w:rsidRPr="007279E7" w:rsidRDefault="00BF06C5" w:rsidP="00F73869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Студентска служба</w:t>
      </w:r>
    </w:p>
    <w:p w14:paraId="01ECC245" w14:textId="77777777" w:rsidR="00BF06C5" w:rsidRPr="007279E7" w:rsidRDefault="00BF06C5" w:rsidP="00F73869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Служба за ИТ</w:t>
      </w:r>
    </w:p>
    <w:p w14:paraId="72E58823" w14:textId="77777777" w:rsidR="00BF06C5" w:rsidRPr="007279E7" w:rsidRDefault="00BF06C5" w:rsidP="00F73869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  <w:t>Служба за маркетинг и односе с јавношћу</w:t>
      </w:r>
    </w:p>
    <w:p w14:paraId="6AA493F6" w14:textId="77777777" w:rsidR="00BF06C5" w:rsidRPr="007279E7" w:rsidRDefault="00BF06C5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BA"/>
          <w14:ligatures w14:val="none"/>
        </w:rPr>
      </w:pPr>
    </w:p>
    <w:p w14:paraId="46CD2ED7" w14:textId="633A13F1" w:rsidR="00BF06C5" w:rsidRPr="007279E7" w:rsidRDefault="006417B7" w:rsidP="00641B3D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Стратегија развоја универзитета дефинише даље кораке на пољу унапређења организације рада. </w:t>
      </w:r>
    </w:p>
    <w:p w14:paraId="111D313A" w14:textId="1C1EB117" w:rsidR="00BF06C5" w:rsidRPr="007279E7" w:rsidRDefault="00BF06C5" w:rsidP="00F73869">
      <w:pPr>
        <w:pStyle w:val="Heading2"/>
        <w:numPr>
          <w:ilvl w:val="1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41183194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Историја </w:t>
      </w:r>
      <w:r w:rsidR="00B76FC8" w:rsidRPr="007279E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Економског ф</w:t>
      </w:r>
      <w:r w:rsidRPr="007279E7">
        <w:rPr>
          <w:rFonts w:ascii="Times New Roman" w:hAnsi="Times New Roman" w:cs="Times New Roman"/>
          <w:color w:val="auto"/>
          <w:sz w:val="24"/>
          <w:szCs w:val="24"/>
        </w:rPr>
        <w:t>акултета</w:t>
      </w:r>
      <w:bookmarkEnd w:id="2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2B120D3" w14:textId="2A4A7843" w:rsidR="00662C69" w:rsidRPr="007279E7" w:rsidRDefault="00662C69" w:rsidP="00641B3D">
      <w:pPr>
        <w:spacing w:line="276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</w:pP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Факултет за привредни развој  је регистрован од стране Министарства  просвјете и културе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CS"/>
          <w14:ligatures w14:val="none"/>
        </w:rPr>
        <w:t xml:space="preserve">2008.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године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CS"/>
          <w14:ligatures w14:val="none"/>
        </w:rPr>
        <w:t xml:space="preserve">,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а прву генерацију с</w:t>
      </w:r>
      <w:r w:rsidR="00970797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тудената уписује </w:t>
      </w:r>
      <w:r w:rsidR="00C9583B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акладемске</w:t>
      </w:r>
      <w:r w:rsidR="00970797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 2008/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09 по принципу 3+2 ради усклађености са силабусима репрезентативних страних високошколских установа.  За првог декана Факултета изабран је проф. др Стеван Васи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>љ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ев. Факу</w:t>
      </w:r>
      <w:r w:rsidR="00970797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лтет за привредни развој од 26.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1.2012. </w:t>
      </w:r>
      <w:r w:rsidR="00DF5FC1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 xml:space="preserve">године,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новим Статутом Факултет мијења назив у Економски факултет.</w:t>
      </w:r>
    </w:p>
    <w:p w14:paraId="78FCB576" w14:textId="77777777" w:rsidR="00771DF7" w:rsidRPr="00771DF7" w:rsidRDefault="00771DF7" w:rsidP="00771DF7">
      <w:pPr>
        <w:spacing w:line="276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</w:pPr>
      <w:r w:rsidRPr="00771DF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Независни универзит Бања Лука је добио дозволу Министарства просвјете и културе Републике Српске број 07.023/602-2086/09 од дана 1.10.2009. гдине о извођењу студијског програма и то: </w:t>
      </w:r>
    </w:p>
    <w:p w14:paraId="620FD87B" w14:textId="061067AC" w:rsidR="00802ABA" w:rsidRPr="00771DF7" w:rsidRDefault="00031C4A" w:rsidP="00F73869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</w:pPr>
      <w:r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Latn-RS"/>
          <w14:ligatures w14:val="none"/>
        </w:rPr>
        <w:t>РАЧУНОВОДСТВО И РЕВИЗИЈА</w:t>
      </w:r>
      <w:r w:rsidR="00E63129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Latn-RS"/>
          <w14:ligatures w14:val="none"/>
        </w:rPr>
        <w:t xml:space="preserve"> </w:t>
      </w:r>
      <w:r w:rsidR="005C017C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Latn-RS"/>
          <w14:ligatures w14:val="none"/>
        </w:rPr>
        <w:t>1</w:t>
      </w:r>
      <w:r w:rsidR="00465B1F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Cyrl-CS"/>
          <w14:ligatures w14:val="none"/>
        </w:rPr>
        <w:t>8</w:t>
      </w:r>
      <w:r w:rsidR="00802ABA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Cyrl-CS"/>
          <w14:ligatures w14:val="none"/>
        </w:rPr>
        <w:t xml:space="preserve">0 </w:t>
      </w:r>
      <w:r w:rsidR="00370D2B" w:rsidRPr="00771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ECTS</w:t>
      </w:r>
      <w:r w:rsidR="00802ABA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 xml:space="preserve"> на првом циклусу студија, у траја</w:t>
      </w:r>
      <w:r w:rsidR="00370D2B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>њ</w:t>
      </w:r>
      <w:r w:rsidR="00802ABA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 xml:space="preserve">у од три године, и </w:t>
      </w:r>
    </w:p>
    <w:p w14:paraId="73BCAB7F" w14:textId="580C2AFF" w:rsidR="00802ABA" w:rsidRPr="00771DF7" w:rsidRDefault="00031C4A" w:rsidP="00F73869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</w:pPr>
      <w:r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Latn-RS"/>
          <w14:ligatures w14:val="none"/>
        </w:rPr>
        <w:t>РАЧУНОВОДСТВО И РЕВИЗИЈА</w:t>
      </w:r>
      <w:r w:rsidR="00E63129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Latn-RS"/>
          <w14:ligatures w14:val="none"/>
        </w:rPr>
        <w:t xml:space="preserve"> </w:t>
      </w:r>
      <w:r w:rsidR="00465B1F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Cyrl-CS"/>
          <w14:ligatures w14:val="none"/>
        </w:rPr>
        <w:t>12</w:t>
      </w:r>
      <w:r w:rsidR="00802ABA" w:rsidRPr="00771DF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val="sr-Cyrl-CS"/>
          <w14:ligatures w14:val="none"/>
        </w:rPr>
        <w:t xml:space="preserve">0 </w:t>
      </w:r>
      <w:r w:rsidR="00370D2B" w:rsidRPr="00771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ECTS</w:t>
      </w:r>
      <w:r w:rsidR="00B76FC8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 xml:space="preserve"> </w:t>
      </w:r>
      <w:r w:rsidR="00802ABA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 xml:space="preserve">на другом циклусу студија, у трајању од </w:t>
      </w:r>
      <w:r w:rsidR="00465B1F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>двиј</w:t>
      </w:r>
      <w:r w:rsidR="00802ABA" w:rsidRPr="00771DF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sr-Cyrl-CS"/>
          <w14:ligatures w14:val="none"/>
        </w:rPr>
        <w:t>е године</w:t>
      </w:r>
    </w:p>
    <w:p w14:paraId="56D4FD01" w14:textId="4CFF5D85" w:rsidR="00C34717" w:rsidRPr="007279E7" w:rsidRDefault="00970797" w:rsidP="00641B3D">
      <w:pPr>
        <w:spacing w:before="120" w:line="276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</w:pPr>
      <w:bookmarkStart w:id="3" w:name="_Hlk186108203"/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Од академске 201</w:t>
      </w:r>
      <w:r w:rsidR="00771DF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RS"/>
          <w14:ligatures w14:val="none"/>
        </w:rPr>
        <w:t>7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/</w:t>
      </w:r>
      <w:r w:rsidR="00C34717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1</w:t>
      </w:r>
      <w:r w:rsidR="00771DF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RS"/>
          <w14:ligatures w14:val="none"/>
        </w:rPr>
        <w:t>8</w:t>
      </w:r>
      <w:r w:rsidR="00C34717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.</w:t>
      </w:r>
      <w:r w:rsidR="00771DF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RS"/>
          <w14:ligatures w14:val="none"/>
        </w:rPr>
        <w:t xml:space="preserve"> </w:t>
      </w:r>
      <w:r w:rsidR="00771DF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RS"/>
          <w14:ligatures w14:val="none"/>
        </w:rPr>
        <w:t xml:space="preserve">године </w:t>
      </w:r>
      <w:r w:rsidR="00C34717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изводе се студији на трећем циклусу, а на основу рјешења и дозволе за рад.</w:t>
      </w:r>
    </w:p>
    <w:bookmarkEnd w:id="3"/>
    <w:p w14:paraId="3B7ED61B" w14:textId="589C0347" w:rsidR="0080109E" w:rsidRPr="007279E7" w:rsidRDefault="00BF06C5" w:rsidP="00641B3D">
      <w:pPr>
        <w:spacing w:before="120" w:line="276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</w:pP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Економски факултет Независног универзитета Бања Лука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 xml:space="preserve">је високообразовна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академска и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>нау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CS"/>
          <w14:ligatures w14:val="none"/>
        </w:rPr>
        <w:t>чна институција која своју мисију реализује наставним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 и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CS"/>
          <w14:ligatures w14:val="none"/>
        </w:rPr>
        <w:t xml:space="preserve"> научним, образовним и стручним радом и истраживањима.</w:t>
      </w:r>
      <w:r w:rsidR="00947CC0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Latn-CS"/>
          <w14:ligatures w14:val="none"/>
        </w:rPr>
        <w:t xml:space="preserve">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 xml:space="preserve">Мисија </w:t>
      </w:r>
      <w:r w:rsidR="00370D2B"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>Ф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 xml:space="preserve">акултета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>ј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>е да шири, унапређује и промовише знање и учење, да представља интелектуални изазов, мотивише креативност и подржи жељу за усавршавањем и стицањем знања у циљу конкретног и м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>ј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>ерљивог друштвено-економског развоја и повећања укупног фундуса знања у најширем контексту, за добробит ц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>ј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 xml:space="preserve">елокупног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 xml:space="preserve">друштва, односно 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>чов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BA"/>
          <w14:ligatures w14:val="none"/>
        </w:rPr>
        <w:t>ј</w:t>
      </w:r>
      <w:r w:rsidRPr="007279E7">
        <w:rPr>
          <w:rFonts w:ascii="Times New Roman" w:eastAsia="Calibri" w:hAnsi="Times New Roman" w:cs="Times New Roman"/>
          <w:noProof/>
          <w:kern w:val="0"/>
          <w:sz w:val="24"/>
          <w:szCs w:val="24"/>
          <w:lang w:val="hr-HR"/>
          <w14:ligatures w14:val="none"/>
        </w:rPr>
        <w:t>ечанства.</w:t>
      </w:r>
    </w:p>
    <w:p w14:paraId="2E11AC0F" w14:textId="748111FB" w:rsidR="0080109E" w:rsidRPr="007279E7" w:rsidRDefault="00700EDB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Циљ студијских програма на Економском факултету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 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је да образују и оспособе нове профиле стручњака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 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за р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јешавањ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е сложених проблема привредног развоја кориштењем стечених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знања, њихово оспособљавање за тимски рад, преузимање индивидуалне и колективне одговорности. Циљ је оспособити студенте за успјешну имплементацију и управљање пројектима у области привредног развоја, осигурања, пореза, бу</w:t>
      </w:r>
      <w:r w:rsidR="00370D2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џ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ета и царина, те ревизије и рачуноводства, као и оспособљавање за покретање и вођење самосталног бизниса.</w:t>
      </w:r>
    </w:p>
    <w:p w14:paraId="5E0F5AE8" w14:textId="73CA2C48" w:rsidR="00700EDB" w:rsidRPr="007279E7" w:rsidRDefault="00700EDB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Економски факултет Независног универзитета Бања Лука ће као посебна организациона јединица настојати да својим истраживачким и образовним активностима, програмима и концепцијом буде препознатљив на регионалном и међународном плану као научна, истраживачка, стручна и високообразовна институција тако што ће:</w:t>
      </w:r>
    </w:p>
    <w:p w14:paraId="0E1F5F90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развијати научно истраживачки рад,</w:t>
      </w:r>
    </w:p>
    <w:p w14:paraId="64A1C34B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развијати научно – наставни и образовни рад,</w:t>
      </w:r>
    </w:p>
    <w:p w14:paraId="2CCE05FD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омогућити стицање релевантних знања за обављање послова профила за који се студенти образују,</w:t>
      </w:r>
    </w:p>
    <w:p w14:paraId="76C88A68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модернизацијом програма пратити савремена научна достигнућа из области у којима реализује програме</w:t>
      </w:r>
    </w:p>
    <w:p w14:paraId="0672AD46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омогућити студентима усавршавање из одређених области на националном и међународном плану,</w:t>
      </w:r>
    </w:p>
    <w:p w14:paraId="786E02B6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подржавати истраживачки и испитивачки дух студената, наставника и сарадника,</w:t>
      </w:r>
    </w:p>
    <w:p w14:paraId="2F6AE75F" w14:textId="77777777" w:rsidR="00700EDB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покушати унаприједити квалитет живота,</w:t>
      </w:r>
    </w:p>
    <w:p w14:paraId="7D752521" w14:textId="77777777" w:rsidR="009B0DFD" w:rsidRPr="007279E7" w:rsidRDefault="00700EDB" w:rsidP="00F73869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студентима отварати нове хоризонте.</w:t>
      </w:r>
    </w:p>
    <w:p w14:paraId="21DEDFA2" w14:textId="77777777" w:rsidR="009B0DFD" w:rsidRPr="007279E7" w:rsidRDefault="009B0DFD" w:rsidP="00641B3D">
      <w:pPr>
        <w:shd w:val="clear" w:color="auto" w:fill="FFFFFF"/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9553BA" w14:textId="2A659B2A" w:rsidR="009B0DFD" w:rsidRPr="007279E7" w:rsidRDefault="00F04BAF" w:rsidP="00641B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У току извођења студијског програма кроз реализацију наставе Независни универзитет </w:t>
      </w:r>
      <w:r w:rsidR="00DF5FC1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Бања Лука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је потписао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="00AB61D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поразуме о сарадњи са </w:t>
      </w:r>
      <w:r w:rsidR="009B0DFD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више високошколских институција</w:t>
      </w:r>
      <w:r w:rsidR="001F1A82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34214398" w14:textId="77777777" w:rsidR="000B2065" w:rsidRPr="007279E7" w:rsidRDefault="000B2065" w:rsidP="00641B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</w:p>
    <w:p w14:paraId="00CE6384" w14:textId="7F7C7FF9" w:rsidR="00034B39" w:rsidRPr="007279E7" w:rsidRDefault="003D792F" w:rsidP="00641B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На Економском факултету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Независног универзитета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="00370D2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Бања Лука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настава се одвија кроз три циклуса студија. </w:t>
      </w:r>
      <w:r w:rsidR="00700ED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Наставни процес на првом циклусу, организован је кроз четворогодишњи и</w:t>
      </w:r>
      <w:r w:rsidR="00F04BAF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трогодишње студијске програме</w:t>
      </w:r>
      <w:r w:rsidR="00034B39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и то: </w:t>
      </w:r>
    </w:p>
    <w:p w14:paraId="4656DA5E" w14:textId="65EB1D33" w:rsidR="00034B39" w:rsidRPr="007279E7" w:rsidRDefault="00034B39" w:rsidP="00F73869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Економија и пословање – 240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</w:p>
    <w:p w14:paraId="2E5479D2" w14:textId="5B9AA1B2" w:rsidR="00034B39" w:rsidRPr="007279E7" w:rsidRDefault="003D792F" w:rsidP="00402D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По завршетку студијског програма стиче се академско звање дипломирани економиста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- </w:t>
      </w:r>
      <w:r w:rsidR="0022118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240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са назнаком усмјерења</w:t>
      </w:r>
      <w:r w:rsidR="00034B39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, а које се бира на четвртој години,</w:t>
      </w:r>
      <w:r w:rsidR="00034B39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и</w:t>
      </w:r>
    </w:p>
    <w:p w14:paraId="68A84E44" w14:textId="4A3AA821" w:rsidR="00034B39" w:rsidRPr="007279E7" w:rsidRDefault="005C017C" w:rsidP="00F73869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5C017C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Менаџмент</w:t>
      </w:r>
      <w:r w:rsidR="00034B39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, Рачуноводство и ревизија, Привредни развој, Осигурање и управљање ризицима, Порези, царине и буџети и Банкарство и берзанско пословање – 180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</w:p>
    <w:p w14:paraId="19EEA62F" w14:textId="6BE7E6CB" w:rsidR="00034B39" w:rsidRPr="007279E7" w:rsidRDefault="00034B39" w:rsidP="00402D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По завршетку једног од студијских програма стиче се академско звање дипломирани економиста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- 180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, са назнаком области завршеног студијског програма.</w:t>
      </w:r>
    </w:p>
    <w:p w14:paraId="28C9C2DF" w14:textId="5B3256ED" w:rsidR="00034B39" w:rsidRPr="007279E7" w:rsidRDefault="0049634D" w:rsidP="00641B3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Студији </w:t>
      </w:r>
      <w:r w:rsidR="003D792F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друго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г</w:t>
      </w:r>
      <w:r w:rsidR="003D792F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циклус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а</w:t>
      </w:r>
      <w:r w:rsidR="003D792F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студија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одвијају се кроз једногодишње, односно двогодишње студије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и вреднују се са 60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(за завршен четворогодишњи ниво првог циклуса са 240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) или са 120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(за завршен трогодишњи ниво првог циклуса са 180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80109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)</w:t>
      </w:r>
      <w:r w:rsidR="00DF5FC1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="00034B39" w:rsidRPr="007279E7">
        <w:rPr>
          <w:rFonts w:ascii="Times New Roman" w:hAnsi="Times New Roman" w:cs="Times New Roman"/>
          <w:sz w:val="24"/>
          <w:szCs w:val="24"/>
          <w:lang w:val="sr-Cyrl-BA"/>
        </w:rPr>
        <w:t>на следећим студијским програмима:</w:t>
      </w:r>
    </w:p>
    <w:p w14:paraId="135AD733" w14:textId="2B74526E" w:rsidR="00034B39" w:rsidRPr="007279E7" w:rsidRDefault="00034B39" w:rsidP="00F73869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lastRenderedPageBreak/>
        <w:t xml:space="preserve">Економија и пословање (са </w:t>
      </w:r>
      <w:r w:rsidR="0021577D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пет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модула) – 60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</w:p>
    <w:p w14:paraId="1EFE7734" w14:textId="42D47438" w:rsidR="00034B39" w:rsidRPr="007279E7" w:rsidRDefault="00034B39" w:rsidP="0024539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По завршетку студијског програма </w:t>
      </w:r>
      <w:r w:rsidR="00AF5FC2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другог циклуса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стиче се академско звање мастер економије - 60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21577D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са назнаком </w:t>
      </w:r>
      <w:r w:rsidR="00AF5FC2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области завршеног модула.</w:t>
      </w:r>
    </w:p>
    <w:p w14:paraId="232FB7CC" w14:textId="2F497364" w:rsidR="00034B39" w:rsidRPr="007279E7" w:rsidRDefault="005C017C" w:rsidP="00F73869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5C017C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Менаџмент</w:t>
      </w:r>
      <w:r w:rsidR="00034B39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, Рачуноводство и ревизија, Привредни развој, Осигурање и управљање ризицима, Порези, царине и буџети и Банкарство и берзанско пословање – 1</w:t>
      </w:r>
      <w:r w:rsidR="00AF5FC2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2</w:t>
      </w:r>
      <w:r w:rsidR="00034B39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AF5FC2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66E510B2" w14:textId="78838A75" w:rsidR="00AF5FC2" w:rsidRPr="007279E7" w:rsidRDefault="00AF5FC2" w:rsidP="0024539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По завршетку студијског програма другог циклуса</w:t>
      </w:r>
      <w:r w:rsidR="0021577D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стиче се академско звање мастер економије - 120 </w:t>
      </w:r>
      <w:r w:rsidR="0021577D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 са назнаком смјера.</w:t>
      </w:r>
    </w:p>
    <w:p w14:paraId="6B4D5035" w14:textId="77777777" w:rsidR="00771DF7" w:rsidRDefault="00771DF7" w:rsidP="00771D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7E6">
        <w:rPr>
          <w:rFonts w:ascii="Times New Roman" w:hAnsi="Times New Roman" w:cs="Times New Roman"/>
          <w:sz w:val="24"/>
          <w:szCs w:val="24"/>
          <w:lang w:val="ru-RU"/>
        </w:rPr>
        <w:t>Трећи</w:t>
      </w:r>
      <w:r w:rsidRPr="002357E6">
        <w:rPr>
          <w:rFonts w:ascii="Times New Roman" w:hAnsi="Times New Roman" w:cs="Times New Roman"/>
          <w:sz w:val="24"/>
          <w:szCs w:val="24"/>
          <w:lang w:val="sr-Latn-CS"/>
        </w:rPr>
        <w:t xml:space="preserve"> циклус студија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студијском програму ЕКОНОМИЈА 180 </w:t>
      </w:r>
      <w:r w:rsidRPr="00AD75A6">
        <w:rPr>
          <w:rFonts w:ascii="Times New Roman" w:hAnsi="Times New Roman" w:cs="Times New Roman"/>
          <w:bCs/>
          <w:sz w:val="24"/>
          <w:szCs w:val="24"/>
        </w:rPr>
        <w:t>ECTS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са три смјера:</w:t>
      </w:r>
    </w:p>
    <w:p w14:paraId="100AE549" w14:textId="77777777" w:rsidR="00771DF7" w:rsidRPr="00AD75A6" w:rsidRDefault="00771DF7" w:rsidP="00771DF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ПОСЛОВНА ЕКОНОМИЈА И МЕНАЏМЕНТ</w:t>
      </w:r>
    </w:p>
    <w:p w14:paraId="0D0AE7E1" w14:textId="77777777" w:rsidR="00771DF7" w:rsidRPr="00AD75A6" w:rsidRDefault="00771DF7" w:rsidP="00771DF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ФИНАНСИЈЕ, БАНКАРСТВО И ОСИГУРАЊЕ</w:t>
      </w:r>
    </w:p>
    <w:p w14:paraId="766E6BB7" w14:textId="77777777" w:rsidR="00771DF7" w:rsidRPr="00AD75A6" w:rsidRDefault="00771DF7" w:rsidP="00771DF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МЕЂУНАРОДНА ЕКОНОМИЈА</w:t>
      </w:r>
    </w:p>
    <w:p w14:paraId="0527488A" w14:textId="77777777" w:rsidR="00771DF7" w:rsidRPr="00AD75A6" w:rsidRDefault="00771DF7" w:rsidP="00771D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траје </w:t>
      </w:r>
      <w:r w:rsidRPr="00AD75A6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 годин</w:t>
      </w:r>
      <w:r w:rsidRPr="00AD75A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 и вреднује се са </w:t>
      </w:r>
      <w:r w:rsidRPr="00AD75A6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0 </w:t>
      </w:r>
      <w:r w:rsidRPr="00AD75A6">
        <w:rPr>
          <w:rFonts w:ascii="Times New Roman" w:hAnsi="Times New Roman" w:cs="Times New Roman"/>
          <w:bCs/>
          <w:sz w:val="24"/>
          <w:szCs w:val="24"/>
        </w:rPr>
        <w:t>ECTS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>. Студенти који заврше</w:t>
      </w:r>
      <w:r>
        <w:rPr>
          <w:rStyle w:val="CommentReference"/>
          <w:lang w:val="sr-Cyrl-RS"/>
        </w:rPr>
        <w:t xml:space="preserve"> </w:t>
      </w:r>
      <w:r w:rsidRPr="00AD75A6">
        <w:rPr>
          <w:rFonts w:ascii="Times New Roman" w:hAnsi="Times New Roman" w:cs="Times New Roman"/>
          <w:sz w:val="24"/>
          <w:szCs w:val="24"/>
          <w:lang w:val="ru-RU"/>
        </w:rPr>
        <w:t xml:space="preserve">трећи 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циклус студија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остварују укупан обим од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5A6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 xml:space="preserve">0 </w:t>
      </w:r>
      <w:r w:rsidRPr="00AD75A6">
        <w:rPr>
          <w:rFonts w:ascii="Times New Roman" w:hAnsi="Times New Roman" w:cs="Times New Roman"/>
          <w:bCs/>
          <w:sz w:val="24"/>
          <w:szCs w:val="24"/>
        </w:rPr>
        <w:t>ECTS</w:t>
      </w:r>
      <w:r w:rsidRPr="00AD75A6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AD75A6">
        <w:rPr>
          <w:rFonts w:ascii="Times New Roman" w:hAnsi="Times New Roman" w:cs="Times New Roman"/>
          <w:sz w:val="24"/>
          <w:szCs w:val="24"/>
          <w:lang w:val="sr-Cyrl-BA"/>
        </w:rPr>
        <w:t xml:space="preserve"> По завршетку студијског програма трећег циклуса стиче се академско званје доктор економских наука – 480 </w:t>
      </w:r>
      <w:r w:rsidRPr="00AD75A6">
        <w:rPr>
          <w:rFonts w:ascii="Times New Roman" w:hAnsi="Times New Roman" w:cs="Times New Roman"/>
          <w:bCs/>
          <w:sz w:val="24"/>
          <w:szCs w:val="24"/>
        </w:rPr>
        <w:t>ECTS</w:t>
      </w:r>
      <w:r w:rsidRPr="00AD75A6">
        <w:rPr>
          <w:rFonts w:ascii="Times New Roman" w:hAnsi="Times New Roman" w:cs="Times New Roman"/>
          <w:sz w:val="24"/>
          <w:szCs w:val="24"/>
          <w:lang w:val="sr-Cyrl-BA"/>
        </w:rPr>
        <w:t xml:space="preserve"> уз додатак завршеног модула. </w:t>
      </w:r>
    </w:p>
    <w:p w14:paraId="466FE3D4" w14:textId="31852D38" w:rsidR="00F04BAF" w:rsidRPr="007279E7" w:rsidRDefault="00771DF7" w:rsidP="00771DF7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357E6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 w:type="page"/>
      </w:r>
    </w:p>
    <w:p w14:paraId="0C58282A" w14:textId="2E32C441" w:rsidR="00B8004B" w:rsidRPr="007279E7" w:rsidRDefault="00AE0AD9" w:rsidP="00465B1F">
      <w:pPr>
        <w:pStyle w:val="Heading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41183195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</w:t>
      </w:r>
      <w:r w:rsidR="00B8004B" w:rsidRPr="007279E7">
        <w:rPr>
          <w:rFonts w:ascii="Times New Roman" w:hAnsi="Times New Roman" w:cs="Times New Roman"/>
          <w:color w:val="auto"/>
          <w:sz w:val="24"/>
          <w:szCs w:val="24"/>
        </w:rPr>
        <w:t>ПРИСТУПАЊЕ ВИСОКОШКОЛСКЕ УСТАНОВЕ БОЛОЊСКОМ ПРОЦЕСУ И</w:t>
      </w:r>
      <w:r w:rsidR="004F14A1"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14A1" w:rsidRPr="007279E7">
        <w:rPr>
          <w:rFonts w:ascii="Times New Roman" w:hAnsi="Times New Roman" w:cs="Times New Roman"/>
          <w:bCs/>
          <w:color w:val="auto"/>
          <w:sz w:val="24"/>
          <w:szCs w:val="24"/>
        </w:rPr>
        <w:t>ДОСТИЗАЊЕ ЦИЉЕВА ИЗ БОЛОЊСКОГ ПРОЦЕСА</w:t>
      </w:r>
      <w:bookmarkEnd w:id="4"/>
    </w:p>
    <w:p w14:paraId="1A6582C7" w14:textId="77777777" w:rsidR="00370D2B" w:rsidRPr="007279E7" w:rsidRDefault="00370D2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7115B9" w14:textId="53A430B9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Приступање високошколск</w:t>
      </w:r>
      <w:r w:rsidR="00370D2B" w:rsidRPr="007279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установ</w:t>
      </w:r>
      <w:r w:rsidR="00370D2B" w:rsidRPr="007279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Болоњском процесу има значајан утицај на квалитет и реформу високог образовања. Независни универзитет Бања Лука је преузео Болоњски процес у своје образовне активности и ради на пости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зању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циљева и начела Болоњског процеса.</w:t>
      </w:r>
      <w:r w:rsidR="005271D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Болоњски процес образовања на првом циклусу студија у обиму од 180 </w:t>
      </w:r>
      <w:r w:rsidR="00E63129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5271D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омогућава студентима бржи долазак на тржиште рада и анализу компетенција стечених на студију. Истоврмено, студиј другог цилкуса у обиму од 120 </w:t>
      </w:r>
      <w:r w:rsidR="00E63129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5271D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бодова омогућава студентима унапређење компетенција и стицање ужих компетенција из исте или сродне научне области .</w:t>
      </w:r>
    </w:p>
    <w:p w14:paraId="045B47AE" w14:textId="7E8D1CE4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Болоњски процес представља образовну реформу која је започела 1999. године са циљем да се хармонизују и модернизују европск</w:t>
      </w:r>
      <w:r w:rsidR="00370D2B"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високошколск</w:t>
      </w:r>
      <w:r w:rsidR="00370D2B"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системи, олакша мобилност студената и наставног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особља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уведе кредитни систем, поједностави преношење студија и створе услови за постизање вишег степена квалитета у образовању.</w:t>
      </w:r>
    </w:p>
    <w:p w14:paraId="3CD9A026" w14:textId="6C0D9DC2" w:rsidR="00B8004B" w:rsidRPr="007279E7" w:rsidRDefault="00645D9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сновн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циљев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Болоњског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процеса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се  на универзитету огледају кроз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3E1A5A7" w14:textId="3DBD7F15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Хармонизациј</w:t>
      </w:r>
      <w:r w:rsidR="00645D9F"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високошколских програма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еном Болоњског процеса, универзитети усклађују своје програме и студијске програме са заједничким стандардима, што омогућава пренос и признавање студија између различитих установа и земаља.</w:t>
      </w:r>
    </w:p>
    <w:p w14:paraId="029CB4F7" w14:textId="75F654A3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Увођење кредитног система</w:t>
      </w:r>
      <w:r w:rsidR="00465B1F"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C75" w:rsidRPr="007279E7">
        <w:rPr>
          <w:rFonts w:ascii="Times New Roman" w:hAnsi="Times New Roman" w:cs="Times New Roman"/>
          <w:sz w:val="24"/>
          <w:szCs w:val="24"/>
          <w:lang w:val="ru-RU"/>
        </w:rPr>
        <w:t>Европск</w:t>
      </w:r>
      <w:r w:rsidR="00956C75"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56C75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кредит</w:t>
      </w:r>
      <w:r w:rsidR="00956C75" w:rsidRPr="007279E7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956C75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трансфера и акумулације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омогућава студентима да стичу кредите за сваки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ешно завршен предмет, што им омогућава флексибилније преношење и превођење студија на друге установе.</w:t>
      </w:r>
    </w:p>
    <w:p w14:paraId="50D70B2C" w14:textId="0619F2B2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Повећање мобилности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Болоњски процес је остварио значајан напредак у олакшавању мобилности студената и наставног особља. Студенти могу лакше преносити своје студије на друге установе и сте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и искуство у другим земљама кроз програме разм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ене.</w:t>
      </w:r>
    </w:p>
    <w:p w14:paraId="64D46D9A" w14:textId="2C804559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Побољшање квалитета образовања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услуга.</w:t>
      </w:r>
    </w:p>
    <w:p w14:paraId="447D9CE3" w14:textId="2FDC851E" w:rsidR="00B8004B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Независни универзитет Бања Лука се, као и остале високошколске установе које су приступиле Болоњском процесу, обавезао на постизање и спровођење циљева и начела овог процеса. Кроз усвајање и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ену Болоњског процеса, Независни универзитет Бања Лука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створи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услове за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сталну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модернизацију својих програма, побољшање квалитета образовања и олакшавање мобилности својих студената и наставног особља.</w:t>
      </w:r>
    </w:p>
    <w:p w14:paraId="39EB95CF" w14:textId="77777777" w:rsidR="005C017C" w:rsidRPr="007279E7" w:rsidRDefault="005C017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8988B" w14:textId="1853AEDC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41183196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Циклуси образовања</w:t>
      </w:r>
      <w:bookmarkEnd w:id="5"/>
    </w:p>
    <w:p w14:paraId="693D9B58" w14:textId="77777777" w:rsidR="00AE0AD9" w:rsidRPr="007279E7" w:rsidRDefault="00AE0AD9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F4A50A2" w14:textId="77777777" w:rsidR="00183C3A" w:rsidRPr="007279E7" w:rsidRDefault="00183C3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Независни универзитет Бања Лука извод наставу на три циклуса студија:</w:t>
      </w:r>
    </w:p>
    <w:p w14:paraId="410443DF" w14:textId="271D02AC" w:rsidR="00183C3A" w:rsidRPr="007279E7" w:rsidRDefault="00183C3A" w:rsidP="00F738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Први циклус студија / студијски прогам 180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370D2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и 240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</w:p>
    <w:p w14:paraId="5BACA6DD" w14:textId="4FABEB21" w:rsidR="00183C3A" w:rsidRPr="007279E7" w:rsidRDefault="00183C3A" w:rsidP="00F738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Други циклус студија / студијски програм 60</w:t>
      </w:r>
      <w:r w:rsidR="00370D2B"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120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370D2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– укупно 180</w:t>
      </w:r>
      <w:r w:rsidR="00370D2B"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</w:p>
    <w:p w14:paraId="098A58DC" w14:textId="724882CC" w:rsidR="00183C3A" w:rsidRPr="007279E7" w:rsidRDefault="00183C3A" w:rsidP="00F738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Трећи циклус студија / студијски прогам ЕКОНОМИЈА 180</w:t>
      </w:r>
      <w:r w:rsidR="00370D2B"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="00370D2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- укупно 480</w:t>
      </w:r>
      <w:r w:rsidR="00370D2B"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70D2B" w:rsidRPr="007279E7">
        <w:rPr>
          <w:rFonts w:ascii="Times New Roman" w:hAnsi="Times New Roman" w:cs="Times New Roman"/>
          <w:bCs/>
          <w:sz w:val="24"/>
          <w:szCs w:val="24"/>
        </w:rPr>
        <w:t>ECTS</w:t>
      </w:r>
    </w:p>
    <w:p w14:paraId="5900CB6F" w14:textId="37E9993E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 ов</w:t>
      </w:r>
      <w:r w:rsidR="00325544" w:rsidRPr="007279E7">
        <w:rPr>
          <w:rFonts w:ascii="Times New Roman" w:hAnsi="Times New Roman" w:cs="Times New Roman"/>
          <w:sz w:val="24"/>
          <w:szCs w:val="24"/>
          <w:lang w:val="ru-RU"/>
        </w:rPr>
        <w:t>аквог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система је омогући</w:t>
      </w:r>
      <w:r w:rsidR="00325544" w:rsidRPr="007279E7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студентима постепено стицање знања и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ештина, како би се задовољил</w:t>
      </w:r>
      <w:r w:rsidR="00956C75" w:rsidRPr="007279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потребе за различитим образовним и професионалним степенима.</w:t>
      </w:r>
    </w:p>
    <w:p w14:paraId="0E895158" w14:textId="7651FFAA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Први циклус (</w:t>
      </w:r>
      <w:r w:rsidR="00956C75" w:rsidRPr="007279E7">
        <w:rPr>
          <w:rFonts w:ascii="Times New Roman" w:hAnsi="Times New Roman" w:cs="Times New Roman"/>
          <w:sz w:val="24"/>
          <w:szCs w:val="24"/>
          <w:lang w:val="sr-Latn-RS"/>
        </w:rPr>
        <w:t>bachelor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Први циклус обухвата основне студије и води до стицања степена</w:t>
      </w:r>
      <w:r w:rsidR="00956C75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75" w:rsidRPr="007279E7">
        <w:rPr>
          <w:rFonts w:ascii="Times New Roman" w:hAnsi="Times New Roman" w:cs="Times New Roman"/>
          <w:sz w:val="24"/>
          <w:szCs w:val="24"/>
          <w:lang w:val="sr-Latn-RS"/>
        </w:rPr>
        <w:t>„bachelor“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. Овај ниво образовања пруж</w:t>
      </w:r>
      <w:r w:rsidR="00956C75" w:rsidRPr="007279E7">
        <w:rPr>
          <w:rFonts w:ascii="Times New Roman" w:hAnsi="Times New Roman" w:cs="Times New Roman"/>
          <w:sz w:val="24"/>
          <w:szCs w:val="24"/>
        </w:rPr>
        <w:t>a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студентима теоријско и практично основно знање у својој области студија.</w:t>
      </w:r>
    </w:p>
    <w:p w14:paraId="7CDAA8E5" w14:textId="78354E7A" w:rsidR="00FD35CF" w:rsidRPr="007279E7" w:rsidRDefault="00451D4A" w:rsidP="00FD3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Други циклус –</w:t>
      </w:r>
      <w:r w:rsidR="00FD35CF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D35C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Други циклус обухвата </w:t>
      </w:r>
      <w:r w:rsidR="00E63129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мастер </w:t>
      </w:r>
      <w:r w:rsidR="00FD35CF" w:rsidRPr="007279E7">
        <w:rPr>
          <w:rFonts w:ascii="Times New Roman" w:hAnsi="Times New Roman" w:cs="Times New Roman"/>
          <w:sz w:val="24"/>
          <w:szCs w:val="24"/>
          <w:lang w:val="ru-RU"/>
        </w:rPr>
        <w:t>студије и води до стицања степена</w:t>
      </w:r>
      <w:r w:rsidR="00FD35CF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35CF" w:rsidRPr="007279E7">
        <w:rPr>
          <w:rFonts w:ascii="Times New Roman" w:hAnsi="Times New Roman" w:cs="Times New Roman"/>
          <w:sz w:val="24"/>
          <w:szCs w:val="24"/>
          <w:lang w:val="sr-Latn-RS"/>
        </w:rPr>
        <w:t>„masterr“</w:t>
      </w:r>
      <w:r w:rsidR="00FD35CF" w:rsidRPr="007279E7">
        <w:rPr>
          <w:rFonts w:ascii="Times New Roman" w:hAnsi="Times New Roman" w:cs="Times New Roman"/>
          <w:sz w:val="24"/>
          <w:szCs w:val="24"/>
          <w:lang w:val="ru-RU"/>
        </w:rPr>
        <w:t>. Овај ниво образовања пруж</w:t>
      </w:r>
      <w:r w:rsidR="00FD35CF" w:rsidRPr="007279E7">
        <w:rPr>
          <w:rFonts w:ascii="Times New Roman" w:hAnsi="Times New Roman" w:cs="Times New Roman"/>
          <w:sz w:val="24"/>
          <w:szCs w:val="24"/>
        </w:rPr>
        <w:t>a</w:t>
      </w:r>
      <w:r w:rsidR="00FD35C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студентима теоријско и практично основно знање у својој области студија.</w:t>
      </w:r>
    </w:p>
    <w:p w14:paraId="7CB394FA" w14:textId="3135AE50" w:rsidR="00956C75" w:rsidRPr="007279E7" w:rsidRDefault="00451D4A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Трећи циклус </w:t>
      </w:r>
      <w:r w:rsidR="00FD35CF" w:rsidRPr="007279E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129" w:rsidRPr="007279E7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E63129" w:rsidRPr="007279E7">
        <w:rPr>
          <w:rFonts w:ascii="Times New Roman" w:hAnsi="Times New Roman" w:cs="Times New Roman"/>
          <w:sz w:val="24"/>
          <w:szCs w:val="24"/>
          <w:lang w:val="ru-RU"/>
        </w:rPr>
        <w:t>рећи циклус обухвата докторске студије и води до стицања степена „доктор економских наука“. Овај ниво образовања пружа студентима теоријско и практично основно те научно и истраживачко искуство</w:t>
      </w:r>
      <w:r w:rsidR="00325544" w:rsidRPr="007279E7">
        <w:rPr>
          <w:rFonts w:ascii="Times New Roman" w:hAnsi="Times New Roman" w:cs="Times New Roman"/>
          <w:sz w:val="24"/>
          <w:szCs w:val="24"/>
          <w:lang w:val="ru-RU"/>
        </w:rPr>
        <w:t>Коначно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, Болоњски процес омогућава студентима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стицање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апликативног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знањ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в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ештин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, олакшавајући им мобилност и преносивост студија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те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упеређење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стандарда квалитета образовања.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9C00D3" w14:textId="730990DF" w:rsidR="00183C3A" w:rsidRPr="007279E7" w:rsidRDefault="00183C3A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41183197"/>
      <w:r w:rsidRPr="007279E7">
        <w:rPr>
          <w:rFonts w:ascii="Times New Roman" w:hAnsi="Times New Roman" w:cs="Times New Roman"/>
          <w:color w:val="auto"/>
          <w:sz w:val="24"/>
          <w:szCs w:val="24"/>
        </w:rPr>
        <w:t>ECTS</w:t>
      </w:r>
      <w:bookmarkEnd w:id="6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7477E90" w14:textId="5CBE38F5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Европск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кредит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трансфера и акумулације (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) је један од најважнијих алатки Болоњског процеса. Он је дизајниран да обезб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еди преносивост студија између различитих високошколских установа и земаља у оквиру Европске уније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и земаља региона.</w:t>
      </w:r>
    </w:p>
    <w:p w14:paraId="5CCF0AF1" w14:textId="7C9CBB94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се користи за кредитирање 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ењивање студија, пружајући јединствен систем преношења и признавања академског рада. Едукативне активности, као што су предавања, семинари, лабораторијске в</w:t>
      </w:r>
      <w:r w:rsidR="00956C75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ежбе и самостални рад, 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вредн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овани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одређеним бројем Е</w:t>
      </w:r>
      <w:r w:rsidRPr="007279E7">
        <w:rPr>
          <w:rFonts w:ascii="Times New Roman" w:hAnsi="Times New Roman" w:cs="Times New Roman"/>
          <w:sz w:val="24"/>
          <w:szCs w:val="24"/>
        </w:rPr>
        <w:t>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кредита.</w:t>
      </w:r>
    </w:p>
    <w:p w14:paraId="3DA5A211" w14:textId="5D960F67" w:rsidR="00FA43F3" w:rsidRDefault="00183C3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За сваки предмет појединачно исказује се број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који су добијени методом учешћа у цјелокупном наставном плану за сваки семестар, односно академску годину студија. Седмични фонд часова, у складу са законом и праксом у европс</w:t>
      </w:r>
      <w:r w:rsidR="00765678" w:rsidRPr="007279E7">
        <w:rPr>
          <w:rFonts w:ascii="Times New Roman" w:hAnsi="Times New Roman" w:cs="Times New Roman"/>
          <w:sz w:val="24"/>
          <w:szCs w:val="24"/>
          <w:lang w:val="ru-RU"/>
        </w:rPr>
        <w:t>ком простору високог образовања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иде у распону од минимално 20 до максимално 25 часова. Предвиђени седмични број часова за сваки предмет исказује се у листи предмета. Један семестар траје 15 радних седмица.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D9CDCA" w14:textId="77777777" w:rsidR="005C017C" w:rsidRPr="007279E7" w:rsidRDefault="005C017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3F28C" w14:textId="33A0DF5C" w:rsidR="00183C3A" w:rsidRPr="007279E7" w:rsidRDefault="00183C3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Бодови су додијељени за укупно вријеме потребно да се постигну планирани исходи учења,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 састоји се од:</w:t>
      </w:r>
    </w:p>
    <w:p w14:paraId="3F5CC358" w14:textId="2A064EC2" w:rsidR="00183C3A" w:rsidRPr="007279E7" w:rsidRDefault="00183C3A" w:rsidP="00F738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7279E7">
        <w:rPr>
          <w:rFonts w:ascii="Times New Roman" w:hAnsi="Times New Roman" w:cs="Times New Roman"/>
          <w:sz w:val="24"/>
          <w:szCs w:val="24"/>
        </w:rPr>
        <w:t>роја сати контакт наставе;</w:t>
      </w:r>
    </w:p>
    <w:p w14:paraId="64BEE2AE" w14:textId="2747CF13" w:rsidR="00183C3A" w:rsidRPr="007279E7" w:rsidRDefault="00183C3A" w:rsidP="00F738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Броја сати потребних за припрему за наставу и израду наставних задатака;</w:t>
      </w:r>
    </w:p>
    <w:p w14:paraId="0A0B13A4" w14:textId="0BCBF1C2" w:rsidR="00183C3A" w:rsidRPr="007279E7" w:rsidRDefault="00183C3A" w:rsidP="00F738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Броја сати потребних за припрему колоквијалних провјера знања и завршног испита и излазак на испит.</w:t>
      </w:r>
    </w:p>
    <w:p w14:paraId="1FEC5B4D" w14:textId="6055EE43" w:rsidR="00183C3A" w:rsidRPr="007279E7" w:rsidRDefault="00183C3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Годишње оптерећење студента од 60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="00B76FC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оквиру четрдесето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часовне радне седмице у складу је са Законом о високом образовању у Републици Српској, и компатибилно је са оптерећењем студената у европском простору високог образовања. У току академске године студенти имају 45 радних седмица (по 15 седмица у два семестра и 15 седмица за припреме и излазак на испите ), што значи да студенти имају 1800 сати рада у току једне године.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Обзиром да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једна година носи 60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, то значи да један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бод носи 30 радних сати. Током реализације наставе усаглашава се додијељени број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са стварним оптерећењем на сваком појединачном предмету, кроз интерне процедуре за обезбјеђење квалитета, и уз мишљење наставника и студената. У случају већег одступања приступиће се ревизији додијељених </w:t>
      </w:r>
      <w:r w:rsidR="00FA43F3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FC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исхода учења и/или техника наставе и учења.</w:t>
      </w:r>
    </w:p>
    <w:p w14:paraId="6ED6CAA1" w14:textId="190F7416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Преносивост студија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="009B0DFD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је успостављен тако да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омогућава студентима да пренесу и признају своје студије између различитих установа и земаља. То значи да, ако студент прелази са једног универзитета на други, његови ранији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кредити се преносе и признају, што му олакшава континуирано образовање.</w:t>
      </w:r>
    </w:p>
    <w:p w14:paraId="412868D7" w14:textId="4855555C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Оц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ењивање и попуњавање предмета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је успостављен тако да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омогућава да се предмети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ењују на основу њихове захт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евности и опсега рада који студент треба да улаже у њих. На тај начин се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ењује академски рад студента и према томе му се дод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ељују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="009B0DFD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кредити.</w:t>
      </w:r>
    </w:p>
    <w:p w14:paraId="464ADEBD" w14:textId="737226EB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Транспарентност и информације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="009B0DFD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је успостављен тако да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пружа детаљне информације о сваком предмету и програму студија, укључујући циљеве, садржај, образовне и испитне методе, критеријуме за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ењивање и број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кредита које студенти могу да очекују.</w:t>
      </w:r>
    </w:p>
    <w:p w14:paraId="414FE24F" w14:textId="5CE469C9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Флексибилност и мобилност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0DFD" w:rsidRPr="007279E7">
        <w:rPr>
          <w:rFonts w:ascii="Times New Roman" w:hAnsi="Times New Roman" w:cs="Times New Roman"/>
          <w:sz w:val="24"/>
          <w:szCs w:val="24"/>
        </w:rPr>
        <w:t>ECTS</w:t>
      </w:r>
      <w:r w:rsidR="00451D4A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9B0DFD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студентима пружа 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могућност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да изб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ом изборних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својим интересима и </w:t>
      </w:r>
      <w:r w:rsidR="00451D4A" w:rsidRPr="007279E7">
        <w:rPr>
          <w:rFonts w:ascii="Times New Roman" w:hAnsi="Times New Roman" w:cs="Times New Roman"/>
          <w:sz w:val="24"/>
          <w:szCs w:val="24"/>
          <w:lang w:val="ru-RU"/>
        </w:rPr>
        <w:t>настојањима значајније учествују у креирању студија који похађају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Такође, ова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олакшава студентима мобилност и могућност да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сутра наставе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студи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на различитим установама и у различитим земљама.</w:t>
      </w:r>
    </w:p>
    <w:p w14:paraId="309672E3" w14:textId="10A05373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41183198"/>
      <w:r w:rsidRPr="007279E7">
        <w:rPr>
          <w:rFonts w:ascii="Times New Roman" w:hAnsi="Times New Roman" w:cs="Times New Roman"/>
          <w:color w:val="auto"/>
          <w:sz w:val="24"/>
          <w:szCs w:val="24"/>
        </w:rPr>
        <w:t>Мобилност студената и наставника</w:t>
      </w:r>
      <w:bookmarkEnd w:id="7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C22C22" w14:textId="27FB70E9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Мобилност студената и наставника је важан аспект Болоњског процеса и има за циљ да омогући студентима и наставницима да стичу међународно искуство и проширују своје хоризонте.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Већина земаља свијета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теж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да поста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отворени простор за образовање и мобилност, што доприноси јачању сарадње између установа и разм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ени знања и идеја</w:t>
      </w:r>
      <w:r w:rsidR="009B0DFD" w:rsidRPr="007279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2850AB" w14:textId="52DA8733" w:rsidR="009B0DFD" w:rsidRPr="007279E7" w:rsidRDefault="009B0DF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Универзитет перманентно учествује у креирању и реализацији пројеката у Европском простору образовања кроз активности:</w:t>
      </w:r>
    </w:p>
    <w:p w14:paraId="4DB9479A" w14:textId="77777777" w:rsidR="00465B1F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Ерасмус+ програм</w:t>
      </w:r>
      <w:r w:rsidR="009B0DFD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који омогућава студентима и наставницима из високошколских установа </w:t>
      </w:r>
      <w:r w:rsidR="009B0DFD" w:rsidRPr="007279E7">
        <w:rPr>
          <w:rFonts w:ascii="Times New Roman" w:hAnsi="Times New Roman" w:cs="Times New Roman"/>
          <w:sz w:val="24"/>
          <w:szCs w:val="24"/>
          <w:lang w:val="sr-Cyrl-RS"/>
        </w:rPr>
        <w:t>мобилност и стицање важног искуства на другој ВШИ.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Ово пружа студентима могућност да искусе нову културу, стекну међународне пријатеље и прошире своје академске и личне хоризонте.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НУБЛ има развијене односе са више међународних универзитета и студенти тако добијају шансу да учествују међустудентској размјени.</w:t>
      </w:r>
    </w:p>
    <w:p w14:paraId="2487613B" w14:textId="73EB64E1" w:rsidR="00B8004B" w:rsidRPr="007279E7" w:rsidRDefault="00465B1F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Боравци наставника 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ино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странству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>Поједини наставници и сарадници су оспособљени за извођење наставе на енглеском језику за студенте којима егнглески језик није матерњи. Ово потврђују сертификати издани од међународно признатих тијела.</w:t>
      </w:r>
      <w:r w:rsidR="00E36491"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>Такође, поједини наставници и сарадници са студијског програма су ангажовани као гостујући професори на иностраним универзитетима који наставу изводе на енглеском језику током дужег периода.</w:t>
      </w:r>
      <w:r w:rsidR="00B8004B"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248C65A3" w14:textId="6BEA82FC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Боравци 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ино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странству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имају могућност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, с времена на вријеме,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да проведу боравак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 ино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странству као 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 свог студијског програма. Ово може укључивати студентску праксу, стажирање или истраживачке пројекте. Овај облик мобилности студентима пружа практично искуство и могућност да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ене своје знање у реалном окружењу.</w:t>
      </w:r>
    </w:p>
    <w:p w14:paraId="3923E878" w14:textId="34568B83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Гостујући наставници</w:t>
      </w:r>
      <w:r w:rsidR="00465B1F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НУБЛ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времено ангажов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наставнике из других земаља да предају на њиховим институцијама. Ово доприноси диверзификацији наставе и пружа студентима могућност да стекну знање и искуство од врхунских стручњака из различитих 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елова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регион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Најчешће се то дешава преко већ поменутог Ерасмус+ програма.</w:t>
      </w:r>
    </w:p>
    <w:p w14:paraId="319A1DA9" w14:textId="61EF20B8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Интернационални пројекти и истраживања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Болоњски процес је такође омогућио побољшану сарадњу између установа истраживања и научних тимова. Наставници и истраживачи имају могућност да учествују у међународним пројектима и истраживањима, што им пружа могућност да сарађују са колегама из других земаља и 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еле своје знање и искуство.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НУБЛ се труди да, кад му се пружи прилика, учествује у овим дјелатностима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Најчешће се и то реализује уз помоћ Ерасмус+ програма. </w:t>
      </w:r>
    </w:p>
    <w:p w14:paraId="53942750" w14:textId="3355AA20" w:rsidR="00E36491" w:rsidRPr="007279E7" w:rsidRDefault="00E36491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Самосталне истраживачке и пројектне активности наставника и сарадника-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Поједини наставници и сарадници у континуитету обављају самосталне истраживачке и пројектне активности у сарадњи са различитим иснтитуцијама и донаторима.</w:t>
      </w:r>
    </w:p>
    <w:p w14:paraId="719C13F8" w14:textId="51A7F537" w:rsidR="00E36491" w:rsidRPr="007279E7" w:rsidRDefault="00E36491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Едукација и радионице</w:t>
      </w:r>
      <w:r w:rsidRPr="005C017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Наставно особље факултета у оквиру универзитета организује и учествује у раду различитих едукација  и радионица.</w:t>
      </w:r>
    </w:p>
    <w:p w14:paraId="00709C9D" w14:textId="61631DDD" w:rsidR="00B8004B" w:rsidRPr="007279E7" w:rsidRDefault="00F366FD" w:rsidP="00F36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обилност студената и наставника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се намеће као императив опстанка ВШИ у наредном периоду. Заинтересованост наставника и сарадника на овом пољу је оптимистична и у складу са Стратегијом развоја Универитета.</w:t>
      </w:r>
    </w:p>
    <w:p w14:paraId="35907761" w14:textId="010090D4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41183199"/>
      <w:r w:rsidRPr="007279E7">
        <w:rPr>
          <w:rFonts w:ascii="Times New Roman" w:hAnsi="Times New Roman" w:cs="Times New Roman"/>
          <w:color w:val="auto"/>
          <w:sz w:val="24"/>
          <w:szCs w:val="24"/>
        </w:rPr>
        <w:t>Исходи учења</w:t>
      </w:r>
      <w:bookmarkEnd w:id="8"/>
    </w:p>
    <w:p w14:paraId="0240910B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Исходи учења представљају конкретн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знањ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>j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ештине и компетенције које студенти треба да стекну по завршетку свог образовања у оквиру Болоњског процеса.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остављени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су на начин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да би се осигурало да студенти достигну одређени ниво образовних и академских стандарда и да имају релевантно знање и способности за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ешан прелазак на тржиште рада или за напредовање у својој каријери.</w:t>
      </w:r>
    </w:p>
    <w:p w14:paraId="02090D72" w14:textId="2DB659F3" w:rsidR="00B8004B" w:rsidRPr="007279E7" w:rsidRDefault="00F8772D" w:rsidP="005C017C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Исходи учења су јасно дефинисани </w:t>
      </w:r>
      <w:r w:rsidR="00D353E6" w:rsidRPr="007279E7">
        <w:rPr>
          <w:rFonts w:ascii="Times New Roman" w:hAnsi="Times New Roman" w:cs="Times New Roman"/>
          <w:sz w:val="24"/>
          <w:szCs w:val="24"/>
          <w:lang w:val="sr-Cyrl-BA"/>
        </w:rPr>
        <w:t>за сваки предмет на студију и саставни су дио силабуса предмета.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Исходи учења у оквиру Болоњског процеса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у посматраном студијском програму су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формули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сани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компетенција, 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тј.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знања, в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ештине и квалитет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које студенти треба да имају по завршетку свог образовања. 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У посматраном студијском програму смо их  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ијелили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на опште компетенције и специфичне компетенције за конкретно подручје студија.</w:t>
      </w:r>
    </w:p>
    <w:p w14:paraId="3055759B" w14:textId="40CE29B4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Опште компетенције укључују, на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ер, критичко размишљање, комуникационе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ештине, тимски рад, проблемско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ешавање, етичко размишљање и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евање културне различитости. Специфичне компетенције се односе на конкретно подручје студија и укључ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специфичности конкретног студијског програма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конкретно наведено у елаборату, односно наставном плану.</w:t>
      </w:r>
    </w:p>
    <w:p w14:paraId="747DC92D" w14:textId="4D290DFA" w:rsidR="00F8772D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Исходи учења 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формул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исани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успостављених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стандарда и могу се пратити 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ењивати у току студија. Они представљају 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еру постигнутог образовања и омогућавају студентима да покажу своје стечено знање и способности. Такође, исходи учења имају значај и за студенте и за потенцијалне послодавце, као и за проц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ену квалитета образовног програма и учинак установе.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Наши студенти, након завршеног школовања (често и току школовања) 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успјешно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проналазе послове у реномираним фирмама.</w:t>
      </w:r>
      <w:r w:rsidR="00F8772D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0D71062" w14:textId="77777777" w:rsidR="00F8772D" w:rsidRPr="007279E7" w:rsidRDefault="00F8772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Образовни циљеви су усклађени са сличнима у окружењу и постоји доказ о упоредивости. Студенти и све заинтересоване стране су упознате са образовним циљевима путем јавно доступних докумената.</w:t>
      </w:r>
    </w:p>
    <w:p w14:paraId="6726D75B" w14:textId="7E31F9AC" w:rsidR="00F8772D" w:rsidRPr="007279E7" w:rsidRDefault="00F8772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Потврда о акредитацији НУБЛ-а је један од основних доказа да је упоредив са сличним установама у земљи и окружењу. Још један од доказа јесу и потписани бројни споразуми о сарадњи са другим сличним институцијама у земљи и иностранству.  </w:t>
      </w:r>
    </w:p>
    <w:p w14:paraId="5C0B5372" w14:textId="3E1FDB24" w:rsidR="00F8772D" w:rsidRPr="007279E7" w:rsidRDefault="00F8772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У оквиру елабората и програма предмета наведени су струковни стандарди за студијски програм, исходи учења и компетенције свршених студената.</w:t>
      </w:r>
    </w:p>
    <w:p w14:paraId="447E52B5" w14:textId="35BD21C9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41183200"/>
      <w:r w:rsidRPr="007279E7">
        <w:rPr>
          <w:rFonts w:ascii="Times New Roman" w:hAnsi="Times New Roman" w:cs="Times New Roman"/>
          <w:color w:val="auto"/>
          <w:sz w:val="24"/>
          <w:szCs w:val="24"/>
        </w:rPr>
        <w:t>Образовни циљеви факултета</w:t>
      </w:r>
      <w:bookmarkEnd w:id="9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D37B236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Образовни циљеви факултета 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формул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исани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са циљем да се постигне одређени ниво образовања и да се обезб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еди квалитетно академско и стручно образовање студената. Ови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циљеви 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пропис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ани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програмима студија и могу варирати у зависности од конкретног факултета и области студија.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Навешћемо неке од</w:t>
      </w:r>
      <w:r w:rsidRPr="007279E7">
        <w:rPr>
          <w:rFonts w:ascii="Times New Roman" w:hAnsi="Times New Roman" w:cs="Times New Roman"/>
          <w:sz w:val="24"/>
          <w:szCs w:val="24"/>
        </w:rPr>
        <w:t xml:space="preserve"> образовних циљева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</w:t>
      </w:r>
      <w:r w:rsidRPr="007279E7">
        <w:rPr>
          <w:rFonts w:ascii="Times New Roman" w:hAnsi="Times New Roman" w:cs="Times New Roman"/>
          <w:sz w:val="24"/>
          <w:szCs w:val="24"/>
        </w:rPr>
        <w:t xml:space="preserve"> факултет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поставио</w:t>
      </w:r>
      <w:r w:rsidRPr="007279E7">
        <w:rPr>
          <w:rFonts w:ascii="Times New Roman" w:hAnsi="Times New Roman" w:cs="Times New Roman"/>
          <w:sz w:val="24"/>
          <w:szCs w:val="24"/>
        </w:rPr>
        <w:t>:</w:t>
      </w:r>
    </w:p>
    <w:p w14:paraId="1CBC8DE6" w14:textId="4561402F" w:rsidR="00B8004B" w:rsidRPr="007279E7" w:rsidRDefault="00B8004B" w:rsidP="00F73869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Пренос знања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129" w:rsidRPr="007279E7">
        <w:rPr>
          <w:rFonts w:ascii="Times New Roman" w:hAnsi="Times New Roman" w:cs="Times New Roman"/>
          <w:sz w:val="24"/>
          <w:szCs w:val="24"/>
          <w:lang w:val="sr-Latn-RS"/>
        </w:rPr>
        <w:t>Мисија факултета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је пренос знања студентима. Ово укључује обезб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еђивање квалитетне наставе, материјала и ресурса који ће студентима помоћи да стекну основно и специфично знање у својој области студија.</w:t>
      </w:r>
    </w:p>
    <w:p w14:paraId="089C6096" w14:textId="5D02FFC0" w:rsidR="00B8004B" w:rsidRPr="007279E7" w:rsidRDefault="00B8004B" w:rsidP="00F73869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Развој</w:t>
      </w:r>
      <w:r w:rsidR="00E36491"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ештина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Факултети 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>рaзвијају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студената које су потребне у њиховој будућој каријери. Ово укључ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комуникације, проблемско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ешавање, критичко размишљање, тимски рад,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у управљању пројектима итд.</w:t>
      </w:r>
    </w:p>
    <w:p w14:paraId="1A9B083E" w14:textId="77777777" w:rsidR="00771DF7" w:rsidRPr="00771DF7" w:rsidRDefault="00B8004B" w:rsidP="00771DF7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Самостално учење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стимулиш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самостално учење и развој студената као активних учесника у свом образовању. Циљ је да студенти стекну навике самоорганизације, критичког мишљења и континуираног учења.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циљ је да студенти по завршетку студија (а и током студија) буду обучени да сами себе могу даље да едукују. Посебно је то битно за овај студијски програм, јер се зна колико су динамичне промјене у области којом се овај студијски програм бави.</w:t>
      </w:r>
    </w:p>
    <w:p w14:paraId="3080829E" w14:textId="3B67DD21" w:rsidR="00771DF7" w:rsidRPr="00771DF7" w:rsidRDefault="00B8004B" w:rsidP="00771DF7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DF7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</w:t>
      </w:r>
      <w:r w:rsidRPr="00771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71DF7">
        <w:rPr>
          <w:rFonts w:ascii="Times New Roman" w:hAnsi="Times New Roman" w:cs="Times New Roman"/>
          <w:sz w:val="24"/>
          <w:szCs w:val="24"/>
          <w:u w:val="single"/>
          <w:lang w:val="ru-RU"/>
        </w:rPr>
        <w:t>ена знања</w:t>
      </w:r>
      <w:r w:rsidR="00E36491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</w:t>
      </w:r>
      <w:r w:rsidR="00D028EB" w:rsidRPr="00771DF7">
        <w:rPr>
          <w:rFonts w:ascii="Times New Roman" w:hAnsi="Times New Roman" w:cs="Times New Roman"/>
          <w:sz w:val="24"/>
          <w:szCs w:val="24"/>
          <w:lang w:val="sr-Cyrl-RS"/>
        </w:rPr>
        <w:t>осигурава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>а студентима прилик</w:t>
      </w:r>
      <w:r w:rsidRPr="00771DF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да прим</w:t>
      </w:r>
      <w:r w:rsidRPr="00771DF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>ене своје знање у практичним ситуацијама.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Кроз облике практичног рада, 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>студентск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пракс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>е и самосталног практичног рада студенти су у могућности да примјенњују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>знање стечено оком студија</w:t>
      </w:r>
      <w:r w:rsidRPr="00771D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1DF7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430680" w14:textId="0534EB94" w:rsidR="00B8004B" w:rsidRPr="00771DF7" w:rsidRDefault="00771DF7" w:rsidP="00771DF7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771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B8004B" w:rsidRPr="00771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Р</w:t>
      </w:r>
      <w:r w:rsidR="00B8004B" w:rsidRPr="00771DF7">
        <w:rPr>
          <w:rFonts w:ascii="Times New Roman" w:hAnsi="Times New Roman" w:cs="Times New Roman"/>
          <w:sz w:val="24"/>
          <w:szCs w:val="24"/>
          <w:u w:val="single"/>
          <w:lang w:val="ru-RU"/>
        </w:rPr>
        <w:t>азвој професионалних и етичких вр</w:t>
      </w:r>
      <w:r w:rsidR="00B8004B" w:rsidRPr="00771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иј</w:t>
      </w:r>
      <w:r w:rsidR="00B8004B" w:rsidRPr="00771DF7">
        <w:rPr>
          <w:rFonts w:ascii="Times New Roman" w:hAnsi="Times New Roman" w:cs="Times New Roman"/>
          <w:sz w:val="24"/>
          <w:szCs w:val="24"/>
          <w:u w:val="single"/>
          <w:lang w:val="ru-RU"/>
        </w:rPr>
        <w:t>едности</w:t>
      </w:r>
      <w:r w:rsidR="00E36491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B8004B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развиј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004B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професионалне и етичке 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>норме</w:t>
      </w:r>
      <w:r w:rsidR="00B8004B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код студената.</w:t>
      </w:r>
      <w:r w:rsidR="00D028EB" w:rsidRPr="00771DF7">
        <w:rPr>
          <w:rFonts w:ascii="Times New Roman" w:hAnsi="Times New Roman" w:cs="Times New Roman"/>
          <w:sz w:val="24"/>
          <w:szCs w:val="24"/>
          <w:lang w:val="ru-RU"/>
        </w:rPr>
        <w:t xml:space="preserve"> Посебан акценат даје се на етичке стандарде ауторског рада и промоцију позитивне истраживачке праксе. Приликом пријаве мастер теме и израде завршног-мастер рада студенти потписују изјаву о ауторству и у потпуности су упознати са принципом неповредивости туђег научно-истраживачког рада</w:t>
      </w:r>
      <w:r w:rsidR="005C017C" w:rsidRPr="00771DF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2B1CD6F" w14:textId="77777777" w:rsidR="005C017C" w:rsidRPr="007279E7" w:rsidRDefault="005C017C" w:rsidP="005C017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52191620" w14:textId="2752D0A5" w:rsidR="00B8004B" w:rsidRPr="007279E7" w:rsidRDefault="00B8004B" w:rsidP="00F73869">
      <w:pPr>
        <w:pStyle w:val="Heading2"/>
        <w:numPr>
          <w:ilvl w:val="2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41183201"/>
      <w:r w:rsidRPr="007279E7">
        <w:rPr>
          <w:rFonts w:ascii="Times New Roman" w:hAnsi="Times New Roman" w:cs="Times New Roman"/>
          <w:color w:val="auto"/>
          <w:sz w:val="24"/>
          <w:szCs w:val="24"/>
        </w:rPr>
        <w:t>Циљеви знања</w:t>
      </w:r>
      <w:bookmarkEnd w:id="10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1AB891" w14:textId="77777777" w:rsidR="001F1A82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знања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су постављени тако да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се односе на специфична знања и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евање које студенти треба да стекну у својој области студија. Они имају за циљ да студентима пруже основе и напредно знање у одређеној дисциплини, како би могли да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ју концепте, принципе и теорије своје области.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729EF8" w14:textId="1CEB2A9D" w:rsidR="00B8004B" w:rsidRPr="007279E7" w:rsidRDefault="001F1A8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 наставку су основни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циљев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знања 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који су подржани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4965A9" w14:textId="290DC2DF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Основни концепти и принципи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ст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ичу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основно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евање концепата, принципа и основних теорија 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поменутој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области студија.</w:t>
      </w:r>
    </w:p>
    <w:p w14:paraId="61CDEEDE" w14:textId="406F9CBC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Напредно знање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Циљ је да студенти развију напредно знање и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евање 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датој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области, укључујући развој, тенденције и нове истраживачке налазе.</w:t>
      </w:r>
    </w:p>
    <w:p w14:paraId="39610995" w14:textId="5DC3D75A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Методи и истраживање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кроз успостављени систем образовања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добијају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вјештину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евањ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основних метода и истраживачких приступа 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датој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области студија, како би били способни да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ене аналитичке и истраживачке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ештине.</w:t>
      </w:r>
    </w:p>
    <w:p w14:paraId="5AB969AD" w14:textId="5F8CF370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ена знања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Циљ је да студенти развију способност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ене стеченог знања на конкретне проблеме и ситуације 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датој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области студија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17F5CE" w14:textId="11FBDDBD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К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ритичко размишљање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развију критичко размишљање и аналитичке вештине, како би били способни да критички процењују информације и развијају аргументоване ставове.</w:t>
      </w:r>
      <w:r w:rsidR="00E3649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Кроз облике самосталног рада посебно изражавају критички осврт на поједине 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>проблематике које се нализирају и обрађују у оквиру садржаја наставних предмета студијског програма.</w:t>
      </w:r>
    </w:p>
    <w:p w14:paraId="303D9F27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Ови циљеви знања 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формул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исани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оквиру програма студија и прате се 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ењују кроз различите образовне активности, укључујући предавања, семинаре, пројекте и испите.</w:t>
      </w:r>
    </w:p>
    <w:p w14:paraId="140CA2D8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14A16A" w14:textId="6215D703" w:rsidR="00B8004B" w:rsidRPr="007279E7" w:rsidRDefault="00B8004B" w:rsidP="00F73869">
      <w:pPr>
        <w:pStyle w:val="Heading2"/>
        <w:numPr>
          <w:ilvl w:val="2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41183202"/>
      <w:r w:rsidRPr="007279E7">
        <w:rPr>
          <w:rFonts w:ascii="Times New Roman" w:hAnsi="Times New Roman" w:cs="Times New Roman"/>
          <w:color w:val="auto"/>
          <w:sz w:val="24"/>
          <w:szCs w:val="24"/>
        </w:rPr>
        <w:t>Циљеви вјештина</w:t>
      </w:r>
      <w:bookmarkEnd w:id="11"/>
    </w:p>
    <w:p w14:paraId="16811C34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 у оквиру Болоњског процеса се односе на специфичне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које студенти треба да развију током свог образовања. Ове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имају за циљ да студентима обезб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еде практичне способности и компетенције које ће им помоћи у пословном окружењу и свакодневном животу.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следећих примјера, показујемо како достижемо задане циљеве вјештина:</w:t>
      </w:r>
    </w:p>
    <w:p w14:paraId="7223AF4F" w14:textId="444DFD12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Комуникационе в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ештине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се стимулишу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да развију способност ефективне комуникације, усмене и писмене, како би били способни да јасно изразе своје идеје, представе аргументе 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успјешно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комуницирају.</w:t>
      </w:r>
    </w:p>
    <w:p w14:paraId="5E096149" w14:textId="3417C7E0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Тимски рад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се стимулишу да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развију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за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ешан рад у тиму, укључујући сарадњу, под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елу задатака, комуникацију и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ешавање проблема у тимском окружењу.</w:t>
      </w:r>
    </w:p>
    <w:p w14:paraId="28E60377" w14:textId="30B55F88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Критичко мишљење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се стимулишу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да стекну способност критичког размишљања, анализе информација 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ењивања различитих аргумента и ставова.</w:t>
      </w:r>
    </w:p>
    <w:p w14:paraId="1B1FACD2" w14:textId="635495BE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Проблемско р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ешавање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се стимулишу да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развију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за идентификовање, анализу и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ешавање проблема на креативан и ефикасан начин.</w:t>
      </w:r>
    </w:p>
    <w:p w14:paraId="2935BDCC" w14:textId="3E4CF992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Управљање временом</w:t>
      </w:r>
      <w:r w:rsidR="00F46FE2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се стимулишу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да науче како да ефективно управљају својим временом, постављају приоритете и организују своје задатке и обавезе.</w:t>
      </w:r>
    </w:p>
    <w:p w14:paraId="0DBEF5DB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Ови циљеви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 се често развијају кроз интерактивне радионице, практичне вежбе, студентске пројекте и стажирања. Прате се 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ењују кроз различите евалуационе методе као што су извештаји, домаћи задаци, пројекти и практични испити.</w:t>
      </w:r>
    </w:p>
    <w:p w14:paraId="538F4CE5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7ABE0A" w14:textId="33655328" w:rsidR="00B8004B" w:rsidRPr="007279E7" w:rsidRDefault="00B8004B" w:rsidP="00F73869">
      <w:pPr>
        <w:pStyle w:val="Heading2"/>
        <w:numPr>
          <w:ilvl w:val="2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41183203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Циљеви способности</w:t>
      </w:r>
      <w:bookmarkEnd w:id="12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D97859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способности у оквиру Болоњског процеса се односе на специфичне способности и компетенције које студенти треба да развију током свог образовања. Ове способности се фокусирају на практичну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ену знања и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 у стварним ситуацијама и имају за циљ да студентима обезб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еде умјетности и вјештине потребне за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ешну каријеру и професионални развој.</w:t>
      </w:r>
    </w:p>
    <w:p w14:paraId="59952B94" w14:textId="0A60F70B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 склопу посматраног студијског програма, инсистира</w:t>
      </w:r>
      <w:r w:rsidR="001F1A82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 испу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 с</w:t>
      </w:r>
      <w:r w:rsidR="001F1A82" w:rsidRPr="007279E7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едећих ци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ева способности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B5A448" w14:textId="71E2940B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Примјена знања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се стимулишу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да буду способни да прим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ене стечено знање и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 у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ешавању конкретних проблема и изазова у својој области студија.</w:t>
      </w:r>
    </w:p>
    <w:p w14:paraId="356C3DFE" w14:textId="3ECDFB2E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Аналитичке способности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Циљ је да студенти развију способности за анализу информација, процјену аргумента и доношење закључака на основу доказа и фактичког размишљања.</w:t>
      </w:r>
    </w:p>
    <w:p w14:paraId="1492F8F7" w14:textId="0FDECEDC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Креативно разми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шља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се стимулишу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да развију креативно размис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шља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ње и иновативни приступ у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ешавању проблема и развоју нових идеја.</w:t>
      </w:r>
    </w:p>
    <w:p w14:paraId="6565DE57" w14:textId="75592165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Комуникационе способности</w:t>
      </w:r>
      <w:r w:rsidR="00F46FE2"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Циљ је да студенти буду способни да ефективно комуницирају са различитим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учесницима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усмено и писмено, и презентују своје идеје и закључке на разумљив начин.</w:t>
      </w:r>
    </w:p>
    <w:p w14:paraId="100F9BCE" w14:textId="6AD39E52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Тимски рад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се стимулишу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да буду способни да усп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ешно сарађују у тимском окружењу, укључујући пословну сарадњу, под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елу задатака и допринос тимским циљевима.</w:t>
      </w:r>
    </w:p>
    <w:p w14:paraId="41D8EC67" w14:textId="3C066789" w:rsidR="00B8004B" w:rsidRPr="007279E7" w:rsidRDefault="00A2742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иљеви способности се развијају кроз практичне в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ежбе, студентске пројекте, интеракцију са послодавцима и стажирања. Прате се и оцењују кроз реалне задатке, пројекте и евалуационе методе које могу укључивати самоевалуацију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или евалуацију ментора и послодавца.</w:t>
      </w:r>
    </w:p>
    <w:p w14:paraId="27FE8151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ABC82" w14:textId="0C66C1C2" w:rsidR="00B8004B" w:rsidRPr="007279E7" w:rsidRDefault="00B8004B" w:rsidP="00F73869">
      <w:pPr>
        <w:pStyle w:val="Heading2"/>
        <w:numPr>
          <w:ilvl w:val="2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41183204"/>
      <w:r w:rsidRPr="007279E7">
        <w:rPr>
          <w:rFonts w:ascii="Times New Roman" w:hAnsi="Times New Roman" w:cs="Times New Roman"/>
          <w:color w:val="auto"/>
          <w:sz w:val="24"/>
          <w:szCs w:val="24"/>
        </w:rPr>
        <w:t>Компетенције</w:t>
      </w:r>
      <w:bookmarkEnd w:id="13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C7E802B" w14:textId="41EC63FD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Компетенције представљају способности, знања,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ештине и ставове које студенти </w:t>
      </w:r>
      <w:r w:rsidR="00A27422" w:rsidRPr="007279E7">
        <w:rPr>
          <w:rFonts w:ascii="Times New Roman" w:hAnsi="Times New Roman" w:cs="Times New Roman"/>
          <w:sz w:val="24"/>
          <w:szCs w:val="24"/>
          <w:lang w:val="ru-RU"/>
        </w:rPr>
        <w:t>развијају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оквиру Болоњског процеса. Компетенције се фокусирају на практичну прим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ену знања и способности у различним контекстима и </w:t>
      </w:r>
      <w:r w:rsidR="00A27422" w:rsidRPr="007279E7">
        <w:rPr>
          <w:rFonts w:ascii="Times New Roman" w:hAnsi="Times New Roman" w:cs="Times New Roman"/>
          <w:sz w:val="24"/>
          <w:szCs w:val="24"/>
          <w:lang w:val="ru-RU"/>
        </w:rPr>
        <w:t>обезбјеђују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студентима основе за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ешну каријеру и живот у општем смислу.</w:t>
      </w:r>
    </w:p>
    <w:p w14:paraId="6819FA4B" w14:textId="2E35EC09" w:rsidR="00B8004B" w:rsidRPr="007279E7" w:rsidRDefault="00A2742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тудијски програм је конципиран тако да поспјешује 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B8004B" w:rsidRPr="007279E7">
        <w:rPr>
          <w:rFonts w:ascii="Times New Roman" w:hAnsi="Times New Roman" w:cs="Times New Roman"/>
          <w:sz w:val="24"/>
          <w:szCs w:val="24"/>
          <w:lang w:val="sr-Cyrl-RS"/>
        </w:rPr>
        <w:t>едеће компетенције</w:t>
      </w:r>
      <w:r w:rsidR="00B8004B" w:rsidRPr="00727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7A3FFCA" w14:textId="43223F68" w:rsidR="00B8004B" w:rsidRPr="007279E7" w:rsidRDefault="00B8004B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Стручно </w:t>
      </w:r>
      <w:r w:rsidR="00A27422"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 апликативно 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знање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укључује разум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евање основних концепата и принципа у својој области студија и способност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ене тог знања на конкретне професионалне задатке.</w:t>
      </w:r>
    </w:p>
    <w:p w14:paraId="47AEBC81" w14:textId="4DACB919" w:rsidR="00A27422" w:rsidRPr="007279E7" w:rsidRDefault="00A27422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Каријерно напредовање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 – Компетенције омогућавају свршеним студентима да напредују и унапређују своје професионалне каријере, али и стручно-научне истраживачке капацитете.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Факултет континуирано унапређује односе са пословном заједницом како би студенти били у прилици обављати сзтручну праксу и упознавати се са технолошким и др. процесима, посебно на пољу иновација.</w:t>
      </w:r>
    </w:p>
    <w:p w14:paraId="7998BB7A" w14:textId="7749CC86" w:rsidR="00B8004B" w:rsidRPr="007279E7" w:rsidRDefault="00B8004B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Комуникација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се односи на способност ефективне комуникације, усмене и писмене, са различитим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учесницима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и у различитим контекстима.</w:t>
      </w:r>
    </w:p>
    <w:p w14:paraId="735D2204" w14:textId="207C68B9" w:rsidR="00B8004B" w:rsidRPr="007279E7" w:rsidRDefault="00B8004B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Р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ешавање проблема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обухвата способност ефикасног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ешавања проблема, идентификацију алтернатива и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ену адекватних стратегија.</w:t>
      </w:r>
    </w:p>
    <w:p w14:paraId="56EEE678" w14:textId="588403A0" w:rsidR="00B8004B" w:rsidRPr="007279E7" w:rsidRDefault="00B8004B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Креативност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се односи на способност генерисања нових идеја, иновативно разми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шља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ње и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ену креативних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ешења.</w:t>
      </w:r>
    </w:p>
    <w:p w14:paraId="62483B20" w14:textId="20C183CD" w:rsidR="00531217" w:rsidRPr="007279E7" w:rsidRDefault="00B8004B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Тимски рад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укључује способност у</w:t>
      </w:r>
      <w:r w:rsidR="00531217" w:rsidRPr="007279E7">
        <w:rPr>
          <w:rFonts w:ascii="Times New Roman" w:hAnsi="Times New Roman" w:cs="Times New Roman"/>
          <w:sz w:val="24"/>
          <w:szCs w:val="24"/>
          <w:lang w:val="ru-RU"/>
        </w:rPr>
        <w:t>чешћа у группним активностима уз поштовање међусобних потреба тима:</w:t>
      </w:r>
    </w:p>
    <w:p w14:paraId="7D828AC6" w14:textId="57C086C1" w:rsidR="00531217" w:rsidRPr="007279E7" w:rsidRDefault="00531217" w:rsidP="00F738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реализације задатака,</w:t>
      </w:r>
    </w:p>
    <w:p w14:paraId="418DD2C6" w14:textId="0FFE6F76" w:rsidR="00531217" w:rsidRPr="007279E7" w:rsidRDefault="00531217" w:rsidP="00F738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потребе тима,</w:t>
      </w:r>
    </w:p>
    <w:p w14:paraId="53D49D64" w14:textId="2F06B113" w:rsidR="00531217" w:rsidRPr="007279E7" w:rsidRDefault="00531217" w:rsidP="00F738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потребе појединца.</w:t>
      </w:r>
    </w:p>
    <w:p w14:paraId="4346F6E5" w14:textId="6AC08D5B" w:rsidR="00B8004B" w:rsidRPr="007279E7" w:rsidRDefault="00B8004B" w:rsidP="00641B3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Управљање временом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обухвата способност ефикасног управљања временом, постављање приоритета и организацију задатака и обавеза.</w:t>
      </w:r>
    </w:p>
    <w:p w14:paraId="147A8417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Студенти се стимулишу да о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ве компетенције развијају кроз различите активности и задатке у оквиру студијског програма, укључујући примјену знања у реалним ситуацијама,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ешавање проблема, рад у тиму и комуникацију. Прате се и оц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ењују кроз различите евалуационе методе које могу укључивати тестове, задатке, пројекте, практичне испите и слично.</w:t>
      </w:r>
    </w:p>
    <w:p w14:paraId="144387C2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05BF5F" w14:textId="0F82C685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41183205"/>
      <w:r w:rsidRPr="007279E7">
        <w:rPr>
          <w:rFonts w:ascii="Times New Roman" w:hAnsi="Times New Roman" w:cs="Times New Roman"/>
          <w:color w:val="auto"/>
          <w:sz w:val="24"/>
          <w:szCs w:val="24"/>
        </w:rPr>
        <w:t>Учешће студената у одлучивању</w:t>
      </w:r>
      <w:bookmarkEnd w:id="14"/>
    </w:p>
    <w:p w14:paraId="6F8B7B5F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Учешће студената у одлучивању је један од циљева Болоњског процеса и представља важан аспект демократизације универзитетског окружења. Овај циљ подстиче активно учешће студената у процесима одлучивања који се односе на универзитетску политику, академске програме, квалитет наставе и студентске услуге.</w:t>
      </w:r>
    </w:p>
    <w:p w14:paraId="5508DFE0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Учешће студената у одлучивању,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 склопу овог студијског програма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279E7">
        <w:rPr>
          <w:rFonts w:ascii="Times New Roman" w:hAnsi="Times New Roman" w:cs="Times New Roman"/>
          <w:sz w:val="24"/>
          <w:szCs w:val="24"/>
        </w:rPr>
        <w:t>se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оствар</w:t>
      </w:r>
      <w:r w:rsidRPr="007279E7">
        <w:rPr>
          <w:rFonts w:ascii="Times New Roman" w:hAnsi="Times New Roman" w:cs="Times New Roman"/>
          <w:sz w:val="24"/>
          <w:szCs w:val="24"/>
        </w:rPr>
        <w:t>uje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кроз следеће механизме:</w:t>
      </w:r>
    </w:p>
    <w:p w14:paraId="508171A9" w14:textId="6E457C5D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Студентска представништва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универзитета.</w:t>
      </w:r>
    </w:p>
    <w:p w14:paraId="10F23FB5" w14:textId="06931F3F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Учешће у т</w:t>
      </w:r>
      <w:r w:rsidR="00F46FE2"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елима и комисијама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 могу бити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 стимулишу се да буду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укључени 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7279E7">
        <w:rPr>
          <w:rFonts w:ascii="Times New Roman" w:hAnsi="Times New Roman" w:cs="Times New Roman"/>
          <w:sz w:val="24"/>
          <w:szCs w:val="24"/>
        </w:rPr>
        <w:t>j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ела и комисије које дон</w:t>
      </w:r>
      <w:r w:rsidRPr="007279E7">
        <w:rPr>
          <w:rFonts w:ascii="Times New Roman" w:hAnsi="Times New Roman" w:cs="Times New Roman"/>
          <w:sz w:val="24"/>
          <w:szCs w:val="24"/>
        </w:rPr>
        <w:t>ose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одлуке о академским програмима, квалитету наставе, студентским услугама и другим важним питањима.</w:t>
      </w:r>
    </w:p>
    <w:p w14:paraId="3882B807" w14:textId="7DB69497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Истраживање ставова студената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ена анкета, фокус група и других истраживачких метода за прикупљање ставова и пр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едлога студената о различитим аспектима образовања и студентског живота.</w:t>
      </w:r>
    </w:p>
    <w:p w14:paraId="09DAC401" w14:textId="601005FC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Одлучивање заједно са наставницима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Промовисање модела сарадње и дијалога између студената и наставника у процесу одлучивања, као и укључивање студената у оцјењивање и планирање наставе.</w:t>
      </w:r>
    </w:p>
    <w:p w14:paraId="289E1D93" w14:textId="4F9E5B26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Информисање и комуникација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Осигуравање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транспарентности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и доступности информација о одлукама и процесима одлучивања, као и могућности за комуникацију и изношење ставова студената.</w:t>
      </w:r>
    </w:p>
    <w:p w14:paraId="54E1679E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искуства.</w:t>
      </w:r>
    </w:p>
    <w:p w14:paraId="04D468ED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E24361" w14:textId="5679A987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41183206"/>
      <w:r w:rsidRPr="007279E7">
        <w:rPr>
          <w:rFonts w:ascii="Times New Roman" w:hAnsi="Times New Roman" w:cs="Times New Roman"/>
          <w:color w:val="auto"/>
          <w:sz w:val="24"/>
          <w:szCs w:val="24"/>
        </w:rPr>
        <w:t>Наставни процес и научноистраживачки рад</w:t>
      </w:r>
      <w:bookmarkEnd w:id="15"/>
    </w:p>
    <w:p w14:paraId="1F3FC7B7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из Болоњског процеса у вези са наставним процесом и научно-истраживачким радом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, које је овај студијски програм имплементирао кроз свој наставни процес,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обухватају следеће аспекте:</w:t>
      </w:r>
    </w:p>
    <w:p w14:paraId="6CDD8B66" w14:textId="6EBC8D71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Квалитет наставе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Осигуравање квалитета наставе кроз прим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ену савремених метода и структура учења, активно учешће студената у процесу учења, евалуацију и побољшање квалитета наставе на основу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повратних информација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студената и других релевантних информација.</w:t>
      </w:r>
    </w:p>
    <w:p w14:paraId="628882F8" w14:textId="53A1AFC2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Повезивање наставе и истраживања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Промовисање интеграције наставног процеса и научно-истраживачког рада како би се студентима омогућило да стичу прим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ењива знања и в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ештине, развијају критичко мишљење и истраживачке способности.</w:t>
      </w:r>
      <w:r w:rsidR="007E09F1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E09F1" w:rsidRPr="007279E7">
        <w:rPr>
          <w:rFonts w:ascii="Times New Roman" w:hAnsi="Times New Roman" w:cs="Times New Roman"/>
          <w:sz w:val="24"/>
          <w:szCs w:val="24"/>
          <w:lang w:val="sr-Cyrl-RS"/>
        </w:rPr>
        <w:t>Студенти континуирано врше истраживања уз менторство наставника, а резултати појединих емпиријских и стучних истраживања се јавно презентују на сајту Универзитета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7E09F1" w:rsidRPr="007279E7">
        <w:rPr>
          <w:rFonts w:ascii="Times New Roman" w:hAnsi="Times New Roman" w:cs="Times New Roman"/>
          <w:sz w:val="24"/>
          <w:szCs w:val="24"/>
          <w:lang w:val="sr-Cyrl-RS"/>
        </w:rPr>
        <w:t>Студенти своје научно-стручне радове објављују у научно-стручном часопису „Сварог“.</w:t>
      </w:r>
    </w:p>
    <w:p w14:paraId="0C93E463" w14:textId="1F11A73C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Самостално учење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Подршка и стимулација самосталног учења и активног истраживачког рада студената, укључујући могућности за самоорганизовано учење, истраживање литературе, рад на пројектима и израду семинарских радова.</w:t>
      </w:r>
    </w:p>
    <w:p w14:paraId="365C646C" w14:textId="45FE3CCC" w:rsidR="00B8004B" w:rsidRPr="007279E7" w:rsidRDefault="00B8004B" w:rsidP="0009210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Менторство и подршка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Обезб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еђивање менторства и подршке студентима у научно-истраживачком раду, укључујући могућности за рад са наставником-ментором, сав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етовање и во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ење научних пројеката.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6B1675" w14:textId="77777777" w:rsidR="00F46FE2" w:rsidRPr="007279E7" w:rsidRDefault="00F46FE2" w:rsidP="00F4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120E71" w14:textId="77777777" w:rsidR="00092109" w:rsidRPr="008D3809" w:rsidRDefault="00B8004B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Етички аспекти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Прилагођавање наставних процеса и научно-истраживачког рада етичким стандардима и промовисање поштовања научног интегритета, одговорног и етичког понашања у научном раду.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FE2" w:rsidRPr="008D3809">
        <w:rPr>
          <w:rFonts w:ascii="Times New Roman" w:hAnsi="Times New Roman" w:cs="Times New Roman"/>
          <w:bCs/>
          <w:sz w:val="24"/>
          <w:szCs w:val="24"/>
          <w:lang w:val="ru-RU"/>
        </w:rPr>
        <w:t>Како би се осигурао интегритет и квалитет истраживачког рада, на факултету је обезбијеђен софтвер за спречавање плагијаризма, што значајно унапређује научноистраживачки рад институције и осигурава поштивање највиших академских стандарда. Овај софтвер омогућава идентификацију и превенцију неетичког академског понашања, чиме се доприноси транспарентности и кредибилитету академских резултата. Уз ове мјере, сви кандидати су обавезни да приликом предаје и штампања завршних радова потпишу етичку изјаву о ауторству, чиме се додатно наглашава одговорност и важност академског поштења.</w:t>
      </w:r>
      <w:r w:rsidR="00092109" w:rsidRPr="008D38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43EA0E5" w14:textId="77777777" w:rsidR="001F1A82" w:rsidRPr="007279E7" w:rsidRDefault="001F1A8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Научно-истраживачки рад одвија се кроз припрему, реализацију и имплементацију научно-истраживачких пројеката, организацију научних конференција, трансфер технологија, промоцију науке и кроз научне активности у оквиру образовног процеса.</w:t>
      </w:r>
    </w:p>
    <w:p w14:paraId="3C6DC78E" w14:textId="08BB2856" w:rsidR="001F1A82" w:rsidRPr="007279E7" w:rsidRDefault="001F1A8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Један од основних циљева развоја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НИР-а на Универзитету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односи се на даље активно учешће наставника, сарадника и истраживача Универзитета у рјешавању важних истраживачких проблема, промоцији научно-истраживачког рада и кроз активно учешће у научним пројектима.</w:t>
      </w:r>
      <w:r w:rsidRPr="007279E7">
        <w:rPr>
          <w:rFonts w:ascii="Times New Roman" w:hAnsi="Times New Roman" w:cs="Times New Roman"/>
          <w:sz w:val="24"/>
          <w:szCs w:val="24"/>
          <w:lang w:val="bs-Cyrl-BA"/>
        </w:rPr>
        <w:t xml:space="preserve"> Поред тога стимулишу се студенти да активно учествују у пројектима, научним конференцијама, теренској настав, размјени студената и слично.</w:t>
      </w:r>
    </w:p>
    <w:p w14:paraId="3AA929C8" w14:textId="4F444386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 је да се обезб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еди квалитетна и стимулативна настава која промовише активно учење и истраживање, како би студенти развили потребна знања, вештине и компетенције потребне за успешну каријеру и допринос друштву.</w:t>
      </w:r>
    </w:p>
    <w:p w14:paraId="6F56815B" w14:textId="654F3115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Етички аспекти се посебно развијају на пољу самосталног истраживачког рада и објављивања резултата истраживања кроз поштовање ситраживачких кодекса и промоцију позитивне академске праксе.</w:t>
      </w:r>
    </w:p>
    <w:p w14:paraId="61C3E206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016885" w14:textId="28FEB09A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41183207"/>
      <w:r w:rsidRPr="007279E7">
        <w:rPr>
          <w:rFonts w:ascii="Times New Roman" w:hAnsi="Times New Roman" w:cs="Times New Roman"/>
          <w:color w:val="auto"/>
          <w:sz w:val="24"/>
          <w:szCs w:val="24"/>
        </w:rPr>
        <w:t>Везе с окружењем, привредом и социјалним партнерима</w:t>
      </w:r>
      <w:bookmarkEnd w:id="16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CC2226F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из Болоњског процеса у вези са везама с окружењем, привредом и социјалним партнерима имају за циљ промовисање сарадње између универзитета и ширег друштвеног окружења. Овај аспект је битан за осигуравање релевантности образовања, стимулисање иновација и креирање прекопотребних веза између академске и пословне заједнице.</w:t>
      </w:r>
    </w:p>
    <w:p w14:paraId="57259A17" w14:textId="46A8A155" w:rsidR="00B8004B" w:rsidRPr="005C017C" w:rsidRDefault="00B8004B" w:rsidP="00F73869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17C">
        <w:rPr>
          <w:rFonts w:ascii="Times New Roman" w:hAnsi="Times New Roman" w:cs="Times New Roman"/>
          <w:sz w:val="24"/>
          <w:szCs w:val="24"/>
          <w:u w:val="single"/>
          <w:lang w:val="ru-RU"/>
        </w:rPr>
        <w:t>Стажирање и пракса</w:t>
      </w:r>
      <w:r w:rsidR="00F46FE2" w:rsidRPr="005C017C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5C017C">
        <w:rPr>
          <w:rFonts w:ascii="Times New Roman" w:hAnsi="Times New Roman" w:cs="Times New Roman"/>
          <w:sz w:val="24"/>
          <w:szCs w:val="24"/>
          <w:lang w:val="ru-RU"/>
        </w:rPr>
        <w:t xml:space="preserve"> Промовисање стажирања и праксе студената у привредним предузећима, институцијама и организацијама како би стекли реално искуство и практичне вештине у својој струци. Ово им омогућава да примене стечено знање у реалном окружењу и развију мрежу контаката у свом професионалном по</w:t>
      </w:r>
      <w:r w:rsidR="00FA43F3" w:rsidRPr="005C017C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5C017C"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14:paraId="6F662282" w14:textId="60F038D5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Сарадња са привредом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Успостављање партнерства и сарадње између 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ниверзитета и привреде, што може укључивати заједничке пројекте, истраживања, консултације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и обуку. Ово омогућава пренос знања између оба сектора, промовише иновације и помаже студентима да се усм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ере ка потребама тржишта рада.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46C2D9" w14:textId="1C98CB62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Разм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ена информација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Омогућавање разм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ене информација и знања између 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ниверзитета и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спољних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партнера као што су професионална удружења, друштвена предузећа и не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зависна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. Ова комуникација помаже у идентификацији потреба тржишта рада и ажурирању наставних програма у складу са захт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евима стварног св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ета.</w:t>
      </w:r>
    </w:p>
    <w:p w14:paraId="01ADCEC9" w14:textId="3B37A8A2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Пренос технологије и иновације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Промовисање преноса технологије и иновација између 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ниверзитета и привреде. Овај пренос може се односити на комерцијализацију истраживања, заједничке пројекте или подршку привреди у развоју нових технологија.</w:t>
      </w:r>
    </w:p>
    <w:p w14:paraId="03E2A13B" w14:textId="77777777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Кроз ову врсту сарадње, образовна институција постиже боље поклапање својих програма са потребама тржишта рада, а студентима се пружају више могућности за стицање релевантних вештина и запошљавање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, нормално у складу са могућностима које околина и регион пружају.</w:t>
      </w:r>
    </w:p>
    <w:p w14:paraId="672D6AD5" w14:textId="77777777" w:rsidR="00F46FE2" w:rsidRPr="007279E7" w:rsidRDefault="00F46FE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439331" w14:textId="7623EC09" w:rsidR="00B8004B" w:rsidRPr="007279E7" w:rsidRDefault="00B8004B" w:rsidP="00F73869">
      <w:pPr>
        <w:pStyle w:val="Heading2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41183208"/>
      <w:r w:rsidRPr="007279E7">
        <w:rPr>
          <w:rFonts w:ascii="Times New Roman" w:hAnsi="Times New Roman" w:cs="Times New Roman"/>
          <w:color w:val="auto"/>
          <w:sz w:val="24"/>
          <w:szCs w:val="24"/>
        </w:rPr>
        <w:t>Студенти</w:t>
      </w:r>
      <w:bookmarkEnd w:id="17"/>
    </w:p>
    <w:p w14:paraId="157276BD" w14:textId="4291DB0E" w:rsidR="00B8004B" w:rsidRPr="007279E7" w:rsidRDefault="00B8004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из Болоњског процеса у вези с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студентима имају за циљ пружити им најбоље могуће образовање и подршку у њиховом студентском искуству.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279E7">
        <w:rPr>
          <w:rFonts w:ascii="Times New Roman" w:hAnsi="Times New Roman" w:cs="Times New Roman"/>
          <w:sz w:val="24"/>
          <w:szCs w:val="24"/>
        </w:rPr>
        <w:t>онкретни циљев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које овај студијски програм подржава су следећи</w:t>
      </w:r>
      <w:r w:rsidRPr="007279E7">
        <w:rPr>
          <w:rFonts w:ascii="Times New Roman" w:hAnsi="Times New Roman" w:cs="Times New Roman"/>
          <w:sz w:val="24"/>
          <w:szCs w:val="24"/>
        </w:rPr>
        <w:t>:</w:t>
      </w:r>
    </w:p>
    <w:p w14:paraId="6341E7C5" w14:textId="3AAF08AF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Приступачност</w:t>
      </w:r>
      <w:r w:rsidR="00F46FE2"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Осигуравање приступачности високошколском образовању за све заинтересоване студенте, без обзира на њихово пор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екло, пол, расу, социо</w:t>
      </w:r>
      <w:r w:rsidR="00FA43F3" w:rsidRPr="007279E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економски статус или инвалидитет. Ово укључује пружање финансијске подршке, менторства и ресурса који су потребни за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ешно завршавање образовања.</w:t>
      </w:r>
    </w:p>
    <w:p w14:paraId="72654E1D" w14:textId="45D7FAF1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Активно учење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Подршка активном учењу студената, које укључује учешће у пројектима, семинарима, лабораторијским радовима и другим активностима које стимулишу интеракцију, критичко мишљење и прим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ењивање знања.</w:t>
      </w:r>
    </w:p>
    <w:p w14:paraId="33729317" w14:textId="747B088E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Лични и професионални развој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Промовисање развоја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 и компетенција које су потребне за усп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ешну каријеру и ангажман у друштву. Ово укључује развој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комуникационих, тимских, проблемских 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ешавања и презентационих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ештина, као и промовисање вр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едности као што су етика, одговорност и во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ство.</w:t>
      </w:r>
    </w:p>
    <w:p w14:paraId="4D81AA34" w14:textId="6B6A6827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Међународна мобилност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Промовисање међународне мобилности студената, која им омогућава да стечено знање искусе у међународном окружењу. Ово може укључивати студентску разм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ену, међународне студијске програме и стажирање у иностранству.</w:t>
      </w:r>
    </w:p>
    <w:p w14:paraId="026B665C" w14:textId="23AD32D4" w:rsidR="00B8004B" w:rsidRPr="007279E7" w:rsidRDefault="00B8004B" w:rsidP="00F738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ru-RU"/>
        </w:rPr>
        <w:t>Студентско учешће и управљање</w:t>
      </w:r>
      <w:r w:rsidR="00F46FE2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>Право студената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за учешће у одлучивању и управљању универзитетским процесима. Ово укључ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>ује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представнике студената 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органима управе и учествовање студената у доношењу одлука о академским програмима и политикама.</w:t>
      </w:r>
    </w:p>
    <w:p w14:paraId="5AE1FAB4" w14:textId="48020D9B" w:rsidR="005A1269" w:rsidRPr="007279E7" w:rsidRDefault="00B8004B" w:rsidP="005C01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из Болоњског процеса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, које овај студијски програм подржава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вези с</w:t>
      </w:r>
      <w:r w:rsidR="00AB61DB" w:rsidRPr="007279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студентима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имају за циљ да студентима пруже најбоље услове за стицање квалитетног образовања, развој в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ештина и подршку за њихов лични и професионални раст и развој.</w:t>
      </w:r>
      <w:r w:rsidR="005A1269" w:rsidRPr="007279E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F898DB0" w14:textId="34499DBA" w:rsidR="00B8004B" w:rsidRPr="007279E7" w:rsidRDefault="00B8004B" w:rsidP="00F73869">
      <w:pPr>
        <w:pStyle w:val="Heading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41183209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СТАНДАРДИ СИСТЕМА ОСИГУРАЊА КВАЛИТЕТА</w:t>
      </w:r>
      <w:bookmarkEnd w:id="18"/>
    </w:p>
    <w:p w14:paraId="490422AF" w14:textId="77777777" w:rsidR="00690701" w:rsidRPr="007279E7" w:rsidRDefault="00690701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63B6447" w14:textId="0DCAAF0B" w:rsidR="00690701" w:rsidRPr="007279E7" w:rsidRDefault="00690701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Циљ Болоњског процеса у вези са системом осигурања квалитета је осигуравање високог квалитета образовања и постизање стандарда који су прихваћени на европском нивоу. Студијски програм Економија и пословање </w:t>
      </w:r>
      <w:r w:rsidRPr="007279E7">
        <w:rPr>
          <w:rFonts w:ascii="Times New Roman" w:hAnsi="Times New Roman" w:cs="Times New Roman"/>
          <w:sz w:val="24"/>
          <w:szCs w:val="24"/>
          <w:lang w:val="sr-Latn-BA"/>
        </w:rPr>
        <w:t xml:space="preserve">II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циклуса то настоји постићи усклађивањем са одговарајућим стандардима и примјеном система осигурања квалитета који обухватају сљедеће аспекте:</w:t>
      </w:r>
    </w:p>
    <w:p w14:paraId="5F82DC58" w14:textId="4342E69F" w:rsidR="00690701" w:rsidRPr="007279E7" w:rsidRDefault="00690701" w:rsidP="00F738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Евалуација и преглед</w:t>
      </w:r>
      <w:r w:rsidR="00B04CC6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Усвајање система евалуације и прегледа који омогућавају праћење квалитета образовних програма, наставе, исхода учења и услова за студенте. Овај процес обухвата унутрашње и спољне евалуације од стране стручњака, студената и других заинтересованих страна.</w:t>
      </w:r>
    </w:p>
    <w:p w14:paraId="3A4C132E" w14:textId="01BFDFE0" w:rsidR="00690701" w:rsidRPr="007279E7" w:rsidRDefault="00690701" w:rsidP="00F738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Планирање и просљеђивање информација</w:t>
      </w:r>
      <w:r w:rsidR="00B04CC6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Развој система за планирање и просљеђивање информација који омогућавају пренос релевантних података о квалитету образовања и раду универзитета. Ово обухвата истраживање, прикупљање и анализу података који су потребни за процјену квалитета и донешење одговарајућих одлука.</w:t>
      </w:r>
    </w:p>
    <w:p w14:paraId="1388A52E" w14:textId="198413E4" w:rsidR="00690701" w:rsidRPr="007279E7" w:rsidRDefault="00690701" w:rsidP="00F73869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Унапређење квалитета</w:t>
      </w:r>
      <w:r w:rsidR="00B04CC6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Примјена мјера и активности које имају за циљ унапређење квалитета образовања. Ово укључује планове акција и подизање свијести о квалитету.</w:t>
      </w:r>
    </w:p>
    <w:p w14:paraId="7C35848A" w14:textId="77777777" w:rsidR="00690701" w:rsidRPr="007279E7" w:rsidRDefault="00690701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Правилницима Универзитета (усвојеним од стране стручних органа Универзитета, а на приједлог Центра за обезбјеђење и унапређење квалитета), водећи рачуна о објективној потреби, сврсисходности и могућностима апликације сваког од стандарда и поступка (Стратегија обезбјеђења квалитета Независног универзитета Бања Лука, Правилник о обезбјеђењу и унапређењу квалитета и Правилник о студентском вредновању квалитета студија). </w:t>
      </w:r>
    </w:p>
    <w:p w14:paraId="2C5EFE60" w14:textId="1177E6B2" w:rsidR="00B04CC6" w:rsidRDefault="00690701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Како су наставници и студенти од самог почетка укључени у разраду постулата на којима ће почивати квалитет, они су упознати са квалитативно-квантитативним својствима процеса који на Универзитету доводе и доводиће до остваривости квалитета. Факултет се неће задовољавати само минимално прихватљивим или прописаним условима, већ ће тежити трајном квалитету својих ресурса, научноистраживачког рада, наставног процеса, наставних инструмената, напредовања студената итд.</w:t>
      </w:r>
    </w:p>
    <w:p w14:paraId="3FDA0059" w14:textId="294C2D53" w:rsidR="005C017C" w:rsidRDefault="005C017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A739E91" w14:textId="77777777" w:rsidR="005C017C" w:rsidRPr="007279E7" w:rsidRDefault="005C017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DD6884" w14:textId="77777777" w:rsidR="00B04CC6" w:rsidRPr="007279E7" w:rsidRDefault="00B04CC6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FA794D9" w14:textId="67AC8A18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41183210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Политика обезбјеђења квалитета студијских програма</w:t>
      </w:r>
      <w:bookmarkEnd w:id="19"/>
    </w:p>
    <w:p w14:paraId="57D2DEFB" w14:textId="77777777" w:rsidR="00AE0AD9" w:rsidRPr="007279E7" w:rsidRDefault="00AE0AD9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02FEF5D" w14:textId="3B970AC7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Све неопходне стандарде и поступке за обезбјеђење квалитета и поступање субјеката у систему обезбјеђења квалитета, НУБЛ је прецизно дефинисао, по радним тијелима и посебно по областима, у </w:t>
      </w:r>
      <w:r w:rsidR="0054685F" w:rsidRPr="007279E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равилницима Универзитета (усвојеним од стране стручних органа Универзитета, а на приједлог Центра за обезбјеђење и унапређење квалитета), водећи рачуна о објективној потреби, сврсисходности и могућностима апликације сваког од стандарда и поступка (Стратегија обезбјеђења квалитета Независног универзитета Бања Лука, Правилник о обезбјеђењу и унапређењу квалитета и Правилник о студентском вредновању квалитета студија). </w:t>
      </w:r>
    </w:p>
    <w:p w14:paraId="79FEC5E8" w14:textId="1882D008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Како су наставници и студенти од самог почетка укључени у разраду постулата на којима ће почивати квалитет, они су упознати са квалитативно-квантитативним својствима процеса који на Универзитету доводе и доводиће до остваривости квалитета. Факултет се неће задовољавати само минимално прихватљивим или прописаним условима, већ ће тежити трајном квалитету својих ресурса, научноистраживачког рада, наставног процеса, наставних инструмената, напредовања студената итд.</w:t>
      </w:r>
    </w:p>
    <w:p w14:paraId="2B146AA7" w14:textId="6C1E3DCC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Независни универзитет цертификован је на систем квалитета </w:t>
      </w:r>
      <w:r w:rsidR="00AB61DB"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ISO 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9001:2000. На </w:t>
      </w:r>
      <w:r w:rsidR="0054685F"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ниверзитету се проводе прцедуре обезбјеђења квалитета у складу са Пословником о квалитету. Квалитет је обавезан задатак свих запослених на </w:t>
      </w:r>
      <w:r w:rsidR="0054685F"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ниверзитету, у складу са Пословником о квалитету. Критерији за одржавање и побољшање квалитета утврђени су у поменутом Пословнику. Процес самовредновања је такође један од начина праћења квалитета образовања. У процесу праћења и побољшања квалитета врши се самовредновање, вредновање од стране друге високошколске институције и вредновање од стране овлашћене институције</w:t>
      </w:r>
      <w:r w:rsidR="00117FAD" w:rsidRPr="007279E7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5558D30F" w14:textId="77777777" w:rsidR="00F40603" w:rsidRPr="007279E7" w:rsidRDefault="00F40603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494C46C9" w14:textId="4BA5DCB0" w:rsidR="00F40603" w:rsidRPr="007279E7" w:rsidRDefault="00F40603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Обезбјеђење квалитета студијског программа се остварује кроз:</w:t>
      </w:r>
    </w:p>
    <w:p w14:paraId="0E4456C1" w14:textId="732DC444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Анализу података о атрактивности постојећих студијских програма;</w:t>
      </w:r>
    </w:p>
    <w:p w14:paraId="6EC0D365" w14:textId="76802140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Ревизију постојећих студијских програма;</w:t>
      </w:r>
    </w:p>
    <w:p w14:paraId="767ACD1D" w14:textId="623C2B79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Развој нових студијских програма;</w:t>
      </w:r>
    </w:p>
    <w:p w14:paraId="601BC273" w14:textId="506BB0EE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Увођење нових предмета;</w:t>
      </w:r>
    </w:p>
    <w:p w14:paraId="23FFABCB" w14:textId="6A2D4401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Анализу успјешности у завршавању студија;</w:t>
      </w:r>
    </w:p>
    <w:p w14:paraId="226E4172" w14:textId="3E162C41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Анализу запошљавања студената након завршетка студија;</w:t>
      </w:r>
    </w:p>
    <w:p w14:paraId="7AD17CD1" w14:textId="0F63807F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Анкетирање завршених студената;</w:t>
      </w:r>
    </w:p>
    <w:p w14:paraId="51AE45ED" w14:textId="4BBC2902" w:rsidR="00F40603" w:rsidRPr="007279E7" w:rsidRDefault="00F40603" w:rsidP="00F73869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Анкетирање послодаваца, стручних тијела и удружења.</w:t>
      </w:r>
    </w:p>
    <w:p w14:paraId="5971380A" w14:textId="77777777" w:rsidR="00F154F8" w:rsidRPr="007279E7" w:rsidRDefault="00F154F8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br w:type="page"/>
      </w:r>
    </w:p>
    <w:p w14:paraId="25BD736F" w14:textId="456F49DB" w:rsidR="00F40603" w:rsidRPr="007279E7" w:rsidRDefault="00F40603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Обезбјеђење и унапређење квалитета наставног процеса се остварује кроз:</w:t>
      </w:r>
    </w:p>
    <w:p w14:paraId="70023719" w14:textId="20D579EB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Јасно дефинисање правила и критерија оцјењивања студената;</w:t>
      </w:r>
    </w:p>
    <w:p w14:paraId="2008A8C1" w14:textId="5AE97219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Утврђивању процедура по жалбама студената;</w:t>
      </w:r>
    </w:p>
    <w:p w14:paraId="073EB288" w14:textId="6A7FFBA3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Анализу успјешности полагања испита;</w:t>
      </w:r>
    </w:p>
    <w:p w14:paraId="0B53CAA6" w14:textId="1258ED85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Анализу броја уписаних студената у вишу годину студија;</w:t>
      </w:r>
    </w:p>
    <w:p w14:paraId="28920179" w14:textId="5379B29F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Анализу броја студената, наставника и сарадника;</w:t>
      </w:r>
    </w:p>
    <w:p w14:paraId="044F3728" w14:textId="12647DE4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Евалуацију наставе и наставног особља од стране студената;</w:t>
      </w:r>
    </w:p>
    <w:p w14:paraId="6E03B5D9" w14:textId="28C49472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Самоевалуацију наставника;</w:t>
      </w:r>
    </w:p>
    <w:p w14:paraId="1F642824" w14:textId="4C40B275" w:rsidR="00F40603" w:rsidRPr="007279E7" w:rsidRDefault="00F40603" w:rsidP="00F7386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Утврђивање структуре предмета, исхода учења, оптерећења студената, плана наставе по седмицама, метода образовања, обавеза студената, начина провјере и оцјењивања.</w:t>
      </w:r>
    </w:p>
    <w:p w14:paraId="6064AC8A" w14:textId="3057B4BA" w:rsidR="00F40603" w:rsidRPr="007279E7" w:rsidRDefault="00F40603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Обезбјеђење квалитета ресурса остварује се кроз:</w:t>
      </w:r>
    </w:p>
    <w:p w14:paraId="113C2492" w14:textId="687E22A7" w:rsidR="00F40603" w:rsidRPr="007279E7" w:rsidRDefault="00F40603" w:rsidP="00F7386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Континуирано побољшање и повећање ресурса за подршку процесу студирања;</w:t>
      </w:r>
    </w:p>
    <w:p w14:paraId="4B53A0DF" w14:textId="12A26977" w:rsidR="00F40603" w:rsidRPr="007279E7" w:rsidRDefault="00F40603" w:rsidP="00F7386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Евалуацију рада студентске службе;</w:t>
      </w:r>
    </w:p>
    <w:p w14:paraId="624F6ED0" w14:textId="696697BB" w:rsidR="00F40603" w:rsidRPr="007279E7" w:rsidRDefault="00F40603" w:rsidP="00F7386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Набавку релевантне литературе;</w:t>
      </w:r>
    </w:p>
    <w:p w14:paraId="1C5B1FAB" w14:textId="60F84613" w:rsidR="00F40603" w:rsidRPr="007279E7" w:rsidRDefault="00F40603" w:rsidP="00F7386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Претплату на релевантне научне базе података;</w:t>
      </w:r>
    </w:p>
    <w:p w14:paraId="6EDAB17E" w14:textId="4DC20797" w:rsidR="00F40603" w:rsidRPr="007279E7" w:rsidRDefault="00F40603" w:rsidP="00F7386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Претплату и издавање релевантних научних и стручних часописа.</w:t>
      </w:r>
    </w:p>
    <w:p w14:paraId="56D82ED3" w14:textId="31FE2D85" w:rsidR="00F40603" w:rsidRPr="007279E7" w:rsidRDefault="00F40603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Поступци анализе успјешности система квалитета проводе се кроз:</w:t>
      </w:r>
    </w:p>
    <w:p w14:paraId="323C0D41" w14:textId="183A9930" w:rsidR="00F40603" w:rsidRPr="007279E7" w:rsidRDefault="00F40603" w:rsidP="00F73869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Израду SWOT анализе;</w:t>
      </w:r>
    </w:p>
    <w:p w14:paraId="758ECF6D" w14:textId="02B88BE0" w:rsidR="00F40603" w:rsidRPr="007279E7" w:rsidRDefault="00F40603" w:rsidP="00F73869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Интерно оцјењивање обезбјеђења квалитета</w:t>
      </w:r>
    </w:p>
    <w:p w14:paraId="4403E044" w14:textId="665E467A" w:rsidR="00F40603" w:rsidRPr="007279E7" w:rsidRDefault="00F40603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Обезбјеђење квалитета научно-истраживачке </w:t>
      </w:r>
      <w:r w:rsidR="0054685F" w:rsidRPr="007279E7"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елатности остварује се кроз:</w:t>
      </w:r>
    </w:p>
    <w:p w14:paraId="63BF5C01" w14:textId="70F14459" w:rsidR="00F40603" w:rsidRPr="007279E7" w:rsidRDefault="00F40603" w:rsidP="00F7386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Израду и имплементацију стратегије научно-истраживачког рада;</w:t>
      </w:r>
    </w:p>
    <w:p w14:paraId="3F398142" w14:textId="635E4F6E" w:rsidR="00F40603" w:rsidRPr="007279E7" w:rsidRDefault="00F40603" w:rsidP="00F7386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Креирање позитивног окружења за истраживачки рад,</w:t>
      </w:r>
    </w:p>
    <w:p w14:paraId="1C209439" w14:textId="4B63B1C5" w:rsidR="00F40603" w:rsidRPr="007279E7" w:rsidRDefault="00F40603" w:rsidP="00F7386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Сарадња са другим институцијама и установама, привредом и другим субјектима у циљу унапређења научно-истраживачке и наставне </w:t>
      </w:r>
      <w:r w:rsidR="0054685F" w:rsidRPr="007279E7"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елатности;</w:t>
      </w:r>
    </w:p>
    <w:p w14:paraId="6BA9D2E4" w14:textId="45A139D1" w:rsidR="00F40603" w:rsidRPr="007279E7" w:rsidRDefault="00F40603" w:rsidP="00F7386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Сталну евалуацију научно-истраживачког рада.</w:t>
      </w:r>
    </w:p>
    <w:p w14:paraId="3046C04C" w14:textId="77777777" w:rsidR="001A7FBA" w:rsidRPr="007279E7" w:rsidRDefault="001A7FBA" w:rsidP="00641B3D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7E25F6" w14:textId="707892BD" w:rsidR="001A7FBA" w:rsidRPr="007279E7" w:rsidRDefault="001A7FBA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41183211"/>
      <w:r w:rsidRPr="007279E7">
        <w:rPr>
          <w:rFonts w:ascii="Times New Roman" w:hAnsi="Times New Roman" w:cs="Times New Roman"/>
          <w:color w:val="auto"/>
          <w:sz w:val="24"/>
          <w:szCs w:val="24"/>
        </w:rPr>
        <w:t>Креирање и усвајање студијских програма</w:t>
      </w:r>
      <w:bookmarkEnd w:id="20"/>
    </w:p>
    <w:p w14:paraId="71587D8B" w14:textId="77777777" w:rsidR="00AE0AD9" w:rsidRPr="007279E7" w:rsidRDefault="00AE0AD9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8830285" w14:textId="77777777" w:rsidR="001A7FBA" w:rsidRPr="007279E7" w:rsidRDefault="001A7FB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Поштујући стандарде система осигурања квалитета у контексту Болоњског процеса, у креирању и усвајању студијских програма се трудимо да задовољимо сљедеће аспекте:</w:t>
      </w:r>
    </w:p>
    <w:p w14:paraId="75046BF9" w14:textId="010D382D" w:rsidR="001A7FBA" w:rsidRPr="007279E7" w:rsidRDefault="001A7FBA" w:rsidP="00F7386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Усаглашеност са стандардима</w:t>
      </w:r>
      <w:r w:rsidR="00B04CC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Студијски програми се усаглашавају са општим стандардима квалитета образовања у оквиру Болоњског процеса и то је континуиран процес. Ово укључује усвајање општих принципа као што су степени образовања ( у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 xml:space="preserve">нашем случају бечелор), </w:t>
      </w:r>
      <w:r w:rsidR="00DF5FC1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ECTS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(европски систем преноса и акумулације бодова), дефинисање резултата учења и сл.</w:t>
      </w:r>
    </w:p>
    <w:p w14:paraId="45AF307C" w14:textId="1169894D" w:rsidR="001A7FBA" w:rsidRPr="007279E7" w:rsidRDefault="001A7FBA" w:rsidP="00F7386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Квалитет наставе</w:t>
      </w:r>
      <w:r w:rsidR="00B04CC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Студијски програм је тако конципиран да обезбјеђују квалитетну наставу и учење. Ово укључује дефинисање циљева наставе, метода резултата учења, употребу активних метода наставе, праћење и оцјењивање напретка студената и континуирано унапређење наставних метода и садржаја.</w:t>
      </w:r>
    </w:p>
    <w:p w14:paraId="6CE3D6CB" w14:textId="67B2C0BE" w:rsidR="001A7FBA" w:rsidRPr="007279E7" w:rsidRDefault="001A7FBA" w:rsidP="00F7386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Флексибилност и мобилност</w:t>
      </w:r>
      <w:r w:rsidR="00B04CC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Студијски програм</w:t>
      </w:r>
      <w:r w:rsidR="00193557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је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конципиран да пружа флексибилност и могућност мобилности студената. Ово укључује могућност избора између различитих предмета и специјализација, могућност преноса кредита и мобилности између универзитета и региона.</w:t>
      </w:r>
    </w:p>
    <w:p w14:paraId="7BB40A1A" w14:textId="03E71342" w:rsidR="001A7FBA" w:rsidRPr="007279E7" w:rsidRDefault="001A7FBA" w:rsidP="00F73869">
      <w:pPr>
        <w:numPr>
          <w:ilvl w:val="0"/>
          <w:numId w:val="4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Процес усвајања програма</w:t>
      </w:r>
      <w:r w:rsidR="00B04CC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Процес усвајања студијск</w:t>
      </w:r>
      <w:r w:rsidR="00193557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ог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програма тежи да буде јасан, флексибилан и укључив. Ово укључује учешће различитих стручњака, студената и стручне јавности у процесу донешења одлука о креирању и усвајању програма.</w:t>
      </w:r>
    </w:p>
    <w:p w14:paraId="76465B98" w14:textId="77777777" w:rsidR="00193557" w:rsidRPr="007279E7" w:rsidRDefault="00193557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47810" w14:textId="4798F27D" w:rsidR="001A7FBA" w:rsidRPr="007279E7" w:rsidRDefault="001A7FB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Аспекти одвијања студијск</w:t>
      </w:r>
      <w:r w:rsidR="00193557" w:rsidRPr="007279E7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програма, као што су циљеви, садржај, структура, методе извођења наставе, оптерећење наставног особља и студената, стручност, практичност, неизоставни су дио сваке системске провјере квалитета Факултета. Постоје утврђени поступци за одобравање, праћење и контролу програма студија (Правилник о доношењу и евалуацији студијских програма). </w:t>
      </w:r>
    </w:p>
    <w:p w14:paraId="71AED7F3" w14:textId="40101EC3" w:rsidR="001A7FBA" w:rsidRPr="007279E7" w:rsidRDefault="001A7FB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НУБЛ је већ у поступку оснивања пројектован у складу са Законом о високом образовању и Уредбом о оснивању високошколских установа, тако да је од почетка имао квалитетне студијске програме усклађене са Болоњском декларацијом. Курикулуми студијск</w:t>
      </w:r>
      <w:r w:rsidR="00193557" w:rsidRPr="007279E7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програма прошли су кроз критичку расправу и детаљну анализу на сједницама свих стручних органа Универзитета. Оперативни надзор руководилаца департмана само је још један у низу алата за праћење квалитета и извођења студијског програма. </w:t>
      </w:r>
    </w:p>
    <w:p w14:paraId="5B9F72D2" w14:textId="42A19B06" w:rsidR="001A7FBA" w:rsidRPr="007279E7" w:rsidRDefault="001A7FB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Студентима је преко оцењивања студијск</w:t>
      </w:r>
      <w:r w:rsidR="00193557" w:rsidRPr="007279E7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програма омогућено учешће у осигуравању квалитета студијских програма. Пресјек стања квалитета студијск</w:t>
      </w:r>
      <w:r w:rsidR="00193557" w:rsidRPr="007279E7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програма добија се на основу података прикупљених путем писаних упитника од стране студената које се спроводе </w:t>
      </w:r>
      <w:r w:rsidR="00193557" w:rsidRPr="007279E7">
        <w:rPr>
          <w:rFonts w:ascii="Times New Roman" w:hAnsi="Times New Roman" w:cs="Times New Roman"/>
          <w:sz w:val="24"/>
          <w:szCs w:val="24"/>
          <w:lang w:val="ru-RU"/>
        </w:rPr>
        <w:t>прије одбране завршног мастер рада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04D1B6" w14:textId="77777777" w:rsidR="001A7FBA" w:rsidRPr="007279E7" w:rsidRDefault="001A7FB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Програмски гледано, студијски програм је великим дијелом усаглашен са сличним студијским програмима иностраних високошколских установа, од којих је довољан број са европског образовног простора.</w:t>
      </w:r>
    </w:p>
    <w:p w14:paraId="2226A5D8" w14:textId="77777777" w:rsidR="00B04CC6" w:rsidRPr="007279E7" w:rsidRDefault="00B04CC6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04F515" w14:textId="401F4CA4" w:rsidR="00AE0AD9" w:rsidRPr="007279E7" w:rsidRDefault="00F40603" w:rsidP="00F73869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1" w:name="_Toc141183212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Структура студијског програма</w:t>
      </w:r>
      <w:r w:rsidR="009D74B0"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1C4A" w:rsidRPr="007279E7">
        <w:rPr>
          <w:rFonts w:ascii="Times New Roman" w:hAnsi="Times New Roman" w:cs="Times New Roman"/>
          <w:color w:val="auto"/>
          <w:sz w:val="24"/>
          <w:szCs w:val="24"/>
          <w:lang w:val="sr-Latn-RS"/>
        </w:rPr>
        <w:t>РАЧУНОВОДСТВО И РЕВИЗИЈА</w:t>
      </w:r>
      <w:r w:rsidR="009D74B0"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21"/>
      <w:r w:rsidR="00B04CC6" w:rsidRPr="007279E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</w:t>
      </w:r>
      <w:r w:rsidR="00430784" w:rsidRPr="007279E7">
        <w:rPr>
          <w:rFonts w:ascii="Times New Roman" w:hAnsi="Times New Roman" w:cs="Times New Roman"/>
          <w:color w:val="auto"/>
          <w:sz w:val="24"/>
          <w:szCs w:val="24"/>
          <w:lang w:val="sr-Latn-RS"/>
        </w:rPr>
        <w:t>8</w:t>
      </w:r>
      <w:r w:rsidR="00B04CC6" w:rsidRPr="007279E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0 </w:t>
      </w:r>
      <w:r w:rsidR="00B04CC6" w:rsidRPr="007279E7">
        <w:rPr>
          <w:rFonts w:ascii="Times New Roman" w:hAnsi="Times New Roman" w:cs="Times New Roman"/>
          <w:color w:val="auto"/>
          <w:sz w:val="24"/>
          <w:szCs w:val="24"/>
        </w:rPr>
        <w:t>ECTS</w:t>
      </w:r>
    </w:p>
    <w:p w14:paraId="65056FD2" w14:textId="13D5875F" w:rsidR="009F68C9" w:rsidRPr="00771DF7" w:rsidRDefault="00FC5500" w:rsidP="00771DF7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Министарство просвјете и културе је 15.7.2013. године, донијело рјешење о испуњености услова за, од академске 2013/14. године. Министарство просвјете и културе је 24.7.2013. године издалу Дозволу за извођење студијских програма </w:t>
      </w:r>
      <w:r w:rsidR="005C017C"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Менаџмент </w:t>
      </w:r>
      <w:r w:rsidR="00B04CC6" w:rsidRPr="00771DF7">
        <w:rPr>
          <w:rFonts w:ascii="Times New Roman" w:hAnsi="Times New Roman" w:cs="Times New Roman"/>
          <w:sz w:val="24"/>
          <w:szCs w:val="24"/>
          <w:lang w:val="sr-Cyrl-BA"/>
        </w:rPr>
        <w:t>180</w:t>
      </w:r>
      <w:r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71DF7">
        <w:rPr>
          <w:rFonts w:ascii="Times New Roman" w:hAnsi="Times New Roman" w:cs="Times New Roman"/>
          <w:bCs/>
          <w:sz w:val="24"/>
          <w:szCs w:val="24"/>
        </w:rPr>
        <w:t>ECTS</w:t>
      </w:r>
      <w:r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B04CC6" w:rsidRPr="00771DF7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0 </w:t>
      </w:r>
      <w:r w:rsidRPr="00771DF7">
        <w:rPr>
          <w:rFonts w:ascii="Times New Roman" w:hAnsi="Times New Roman" w:cs="Times New Roman"/>
          <w:bCs/>
          <w:sz w:val="24"/>
          <w:szCs w:val="24"/>
        </w:rPr>
        <w:t>ECTS</w:t>
      </w:r>
      <w:r w:rsidRPr="00771DF7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6296DB4A" w14:textId="7FB00BF4" w:rsidR="00771DF7" w:rsidRPr="00771DF7" w:rsidRDefault="00771DF7" w:rsidP="00771DF7">
      <w:pPr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</w:pPr>
      <w:r w:rsidRPr="00771DF7">
        <w:rPr>
          <w:rFonts w:ascii="Times New Roman" w:eastAsia="Calibri" w:hAnsi="Times New Roman" w:cs="Times New Roman"/>
          <w:noProof/>
          <w:kern w:val="0"/>
          <w:sz w:val="24"/>
          <w:szCs w:val="24"/>
          <w:lang w:val="sr-Cyrl-CS"/>
          <w14:ligatures w14:val="none"/>
        </w:rPr>
        <w:t xml:space="preserve">Независни универзит Бања Лука је добио дозволу Министарства просвјете и културе Републике Српске број 07.023/602-2086/09 од дана 1.10.2009. гдине о извођењу студијског програма </w:t>
      </w:r>
      <w:r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првог и другог циклуса студијског програма </w:t>
      </w:r>
      <w:r w:rsidRPr="00771DF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  <w:t>РАЧУНОВОДСТВО И РЕВИЗИЈА 18</w:t>
      </w:r>
      <w:r w:rsidRPr="00771DF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0 </w:t>
      </w:r>
      <w:r w:rsidRPr="00771DF7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  <w:t>ECTS</w:t>
      </w:r>
      <w:r w:rsidRPr="00771DF7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Pr="00771DF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  <w:t>РАЧУНОВОДСТВО И РЕВИЗИЈА 12</w:t>
      </w:r>
      <w:r w:rsidRPr="00771DF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0 </w:t>
      </w:r>
      <w:r w:rsidRPr="00771DF7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  <w:t>ECTS</w:t>
      </w:r>
    </w:p>
    <w:p w14:paraId="767D629A" w14:textId="77777777" w:rsidR="00771DF7" w:rsidRPr="007279E7" w:rsidRDefault="00771DF7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4B8A9BE" w14:textId="2357F056" w:rsidR="009D74B0" w:rsidRPr="007279E7" w:rsidRDefault="009D74B0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Стандарди система осигурања квалитета у вези са структуром студијског програма 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укључују сљедеће елементе:</w:t>
      </w:r>
    </w:p>
    <w:p w14:paraId="7B54AEA5" w14:textId="6DFA2CC6" w:rsidR="009D74B0" w:rsidRPr="007279E7" w:rsidRDefault="009D74B0" w:rsidP="00F738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Дефинисање степена образовања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 који заврши студијски програм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180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добија академско звање </w:t>
      </w:r>
      <w:r w:rsidR="00F154F8" w:rsidRPr="008D3809">
        <w:rPr>
          <w:rFonts w:ascii="Times New Roman" w:hAnsi="Times New Roman" w:cs="Times New Roman"/>
          <w:sz w:val="24"/>
          <w:szCs w:val="24"/>
          <w:lang w:val="ru-RU"/>
        </w:rPr>
        <w:t xml:space="preserve">дипломирани економиста за општи </w:t>
      </w:r>
      <w:r w:rsidR="00031C4A" w:rsidRPr="008D3809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F154F8" w:rsidRPr="008D3809">
        <w:rPr>
          <w:rFonts w:ascii="Times New Roman" w:hAnsi="Times New Roman" w:cs="Times New Roman"/>
          <w:sz w:val="24"/>
          <w:szCs w:val="24"/>
          <w:lang w:val="ru-RU"/>
        </w:rPr>
        <w:t xml:space="preserve"> – 180 ЕЦТС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, са јасно дефинисаним захтјевима и критеријумима.</w:t>
      </w:r>
    </w:p>
    <w:p w14:paraId="7ABCDADC" w14:textId="36E74B4F" w:rsidR="009D74B0" w:rsidRPr="007279E7" w:rsidRDefault="00DF5FC1" w:rsidP="00F738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ECTS</w:t>
      </w:r>
      <w:r w:rsidR="009D74B0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(европски систем преноса и акумулације бодова)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9D74B0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студијског програма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180</w:t>
      </w:r>
      <w:r w:rsidR="00F154F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ECTS </w:t>
      </w:r>
      <w:r w:rsidR="009D74B0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је заснована на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ECTS</w:t>
      </w:r>
      <w:r w:rsidR="009D74B0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систему који омогућава пренос и акумулацију бодова за успјешно завршене предмете или активности. Ово обезбјеђује флексибилност и преносивост студија</w:t>
      </w:r>
      <w:r w:rsidR="00771DF7">
        <w:rPr>
          <w:rFonts w:ascii="Times New Roman" w:hAnsi="Times New Roman" w:cs="Times New Roman"/>
          <w:sz w:val="24"/>
          <w:szCs w:val="24"/>
          <w:lang w:val="ru-RU"/>
        </w:rPr>
        <w:t xml:space="preserve"> између р</w:t>
      </w:r>
      <w:r w:rsidR="009D74B0" w:rsidRPr="007279E7">
        <w:rPr>
          <w:rFonts w:ascii="Times New Roman" w:hAnsi="Times New Roman" w:cs="Times New Roman"/>
          <w:sz w:val="24"/>
          <w:szCs w:val="24"/>
          <w:lang w:val="ru-RU"/>
        </w:rPr>
        <w:t>зличитих институција и земаља.</w:t>
      </w:r>
    </w:p>
    <w:p w14:paraId="3A2531EB" w14:textId="60960FA8" w:rsidR="009D74B0" w:rsidRPr="007279E7" w:rsidRDefault="009D74B0" w:rsidP="00F738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Структура предмета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студијског програма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180</w:t>
      </w:r>
      <w:r w:rsidR="00F154F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ECTS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обухвата јасну организацију предмета. Предмети су дефинисани са јасним циљевима, садржајем, методама наставе и критеријумима за оцјењивање.</w:t>
      </w:r>
    </w:p>
    <w:p w14:paraId="3FF8D1EC" w14:textId="6F36F59E" w:rsidR="009D74B0" w:rsidRPr="007279E7" w:rsidRDefault="009D74B0" w:rsidP="00F738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Флексибилност и изборни предмети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студијског програма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180</w:t>
      </w:r>
      <w:r w:rsidR="00F154F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ECTS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обезбјеђује флексибилност у избору изборних предмета за студенте. Ово омогућава студентима да изаберу одређени број предмета из различитих области или специјализација, у складу са својим интересима и каријерним циљевима.</w:t>
      </w:r>
    </w:p>
    <w:p w14:paraId="1DE1EE1C" w14:textId="77777777" w:rsidR="008E560D" w:rsidRPr="007279E7" w:rsidRDefault="008E560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770D33" w14:textId="1754B0E8" w:rsidR="009D74B0" w:rsidRDefault="009D74B0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студијског програма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F154F8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180</w:t>
      </w:r>
      <w:r w:rsidR="00F154F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CC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ECTS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је усаглашена са општим стандардима и принципима квалитета образовања у оквиру Болоњског процеса, како би се осигурао квалитет и флексибилност у образовном систему.</w:t>
      </w:r>
    </w:p>
    <w:p w14:paraId="2E8A64B3" w14:textId="77777777" w:rsidR="00771DF7" w:rsidRPr="007279E7" w:rsidRDefault="00771DF7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B67280" w14:textId="77777777" w:rsidR="00442ADA" w:rsidRPr="007279E7" w:rsidRDefault="00442AD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888D63" w14:textId="434B7E5E" w:rsidR="00F40603" w:rsidRPr="007279E7" w:rsidRDefault="00F40603" w:rsidP="00F73869">
      <w:pPr>
        <w:pStyle w:val="Heading2"/>
        <w:numPr>
          <w:ilvl w:val="1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41183213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Сврха и циљеви студијског програма</w:t>
      </w:r>
      <w:bookmarkEnd w:id="22"/>
    </w:p>
    <w:p w14:paraId="19AD5DDE" w14:textId="77777777" w:rsidR="005C017C" w:rsidRDefault="005C017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62D625" w14:textId="589CFD46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Визија овог студијског програма је унапређење садашње позиције Економског факултета и Независног универзитета у оквиру академских универзитетских студија изградње знања и компетенција у области економије.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Овај студијски програм слиједи досадашњу добру пословну праксу, сталне и веома динамичне промјене у економском и пословном окружењу, са циљем стицања нових компетенција, знања и вјештина, који се захтијевају од економиста у савременим условима пословања. Програм уважава реалне захтјеве привреде, али и државних и јавних институција и наставља се на студијски програм првог циклуса.</w:t>
      </w:r>
    </w:p>
    <w:p w14:paraId="75BDF3C6" w14:textId="5A6F56DC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Реализацијом овог студијског програма студенти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оспособљени за извршавање послова различите сложености из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области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</w:t>
      </w:r>
      <w:r w:rsidR="007279E7" w:rsidRPr="007279E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ревизиј</w:t>
      </w:r>
      <w:r w:rsidR="007279E7" w:rsidRPr="007279E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Програм карактерише вишедимензионални приступ у реализацији академских студија, при чему се полази од општих ка појединачним и специфичним пословима. Дакле, сврха је стварање компетентних профила за тржиште рада, профила за које би се релативно брзо нашла одговарајућа радна мјеста. </w:t>
      </w:r>
    </w:p>
    <w:p w14:paraId="133DE4D3" w14:textId="30B55DAE" w:rsidR="00F40603" w:rsidRPr="007279E7" w:rsidRDefault="005C017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17C">
        <w:rPr>
          <w:rFonts w:ascii="Times New Roman" w:hAnsi="Times New Roman" w:cs="Times New Roman"/>
          <w:sz w:val="24"/>
          <w:szCs w:val="24"/>
          <w:lang w:val="sr-Latn-RS"/>
        </w:rPr>
        <w:t>Обзиром да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0603" w:rsidRPr="007279E7">
        <w:rPr>
          <w:rFonts w:ascii="Times New Roman" w:hAnsi="Times New Roman" w:cs="Times New Roman"/>
          <w:sz w:val="24"/>
          <w:szCs w:val="24"/>
          <w:lang w:val="ru-RU"/>
        </w:rPr>
        <w:t>се сврсисходност неког студијског програма провјерава кроз његову научну заснованост на досадашњим достигнућима економске науке, то је и овај програм креиран тако да буде сагласан, односно компатибилан са другим програмима истих или сличних профилација на другим унивезитетима у региону и шире. Из садржаја наставних предмета видљиво је да уважавају сва релевантна научна достигнућа домаћих и страних аутора.</w:t>
      </w:r>
    </w:p>
    <w:p w14:paraId="488029B9" w14:textId="002BB7F2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Програм сврсисходно прати савремене трендове у високом образовању, који се профилишу од стране ресорног министарства, уз пуно прагматично  уважавање захт</w:t>
      </w:r>
      <w:r w:rsidR="00AB61DB" w:rsidRPr="007279E7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ева болоњске декларације, са циљем достизања модерног, квалитетног, ефикасног, ефективног и, на крају, флексибилног образовног процеса.</w:t>
      </w:r>
    </w:p>
    <w:p w14:paraId="77CD8B73" w14:textId="7898738B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Потреба за креирањем једног оваквог студијског програма произилази и из чињенице да јавни универзитети у Републици Српској нису у могућности прихватити све студенте који аплицирају за студирање на економским факултетима, чиме се будући студенти доводе у неравноправан положај у погледу могућности образовања за одређена звања и занимања. </w:t>
      </w:r>
    </w:p>
    <w:p w14:paraId="236BB48A" w14:textId="5D52CD69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Примарни циљ овог студијског програма је образовање студената чије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компетенције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апликативног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карактера у научном пољу коме програм припада, са довољно широким увидом у академска знања и реалну праксу у области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ревизиј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у условима глобализације, интернационализације и технологизације.</w:t>
      </w:r>
    </w:p>
    <w:p w14:paraId="75F9CC0D" w14:textId="5F31994A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Из примарног циља произилази и генерални циљ, а то је да студенти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>стичу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потребна ( на другом  циклусу додатна, посебна) знања, вјештине, концепције, моделе, стратегије, савременог  креирања, истраживања, планирања, имплементације, праћења, преиспитивања и контроле економских и пословних феномена у садашњости и прошлости, ради квалитетнијег рјешавања проблема у будућности. Циљ је да студенти овладају знањима 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вјештинама неопходним за самосталан научно-истраживачки рад. Овај генерални циљ и перформансе програма би се постепено, и у складу са приоритетима, остваривали. Овај студијски програм оспособи и припреми студенте да могу успјешно наставити студије </w:t>
      </w:r>
      <w:r w:rsidR="00F154F8" w:rsidRPr="007279E7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циклуса.</w:t>
      </w:r>
    </w:p>
    <w:p w14:paraId="0B15F83A" w14:textId="03BE0ACF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 овог програма је да студентима пружи потребне компетенције, знања и вјештине за обављање високо стручних економских и управљачких послова у компанијама, профитним и непрофитним организацијама, те у државним и јавним институцијама. Усвајањем програма студенти стичу потребна теоријска и практична знања која им омогућавају да самостално анализирају и рјешавају проблеме из области коју су изучавали. Студенти ће бити оспособљени за самостално доношење одлука на макро и микро нивоу, те за генерисање и развијање властитог бизниса.</w:t>
      </w:r>
    </w:p>
    <w:p w14:paraId="7E74A1D8" w14:textId="2CB162D8" w:rsidR="00F40603" w:rsidRPr="007279E7" w:rsidRDefault="00F4060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Циљеви су тако постављењи да су у складу са основним задацима и циљевима Економског факултета и Независног универзитета. Обухватају вјештине и методе стицања знања из области економије и пословања и посебно из сваког усмјерења.</w:t>
      </w:r>
    </w:p>
    <w:p w14:paraId="26B218FE" w14:textId="77777777" w:rsidR="00442ADA" w:rsidRPr="007279E7" w:rsidRDefault="00442AD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71C7BD" w14:textId="091C1F7E" w:rsidR="00F40603" w:rsidRPr="007279E7" w:rsidRDefault="00F40603" w:rsidP="00F73869">
      <w:pPr>
        <w:pStyle w:val="Heading2"/>
        <w:numPr>
          <w:ilvl w:val="1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41183214"/>
      <w:r w:rsidRPr="007279E7">
        <w:rPr>
          <w:rFonts w:ascii="Times New Roman" w:hAnsi="Times New Roman" w:cs="Times New Roman"/>
          <w:color w:val="auto"/>
          <w:sz w:val="24"/>
          <w:szCs w:val="24"/>
        </w:rPr>
        <w:t>Наставни план и програм</w:t>
      </w:r>
      <w:bookmarkEnd w:id="23"/>
    </w:p>
    <w:p w14:paraId="0BE501CA" w14:textId="3036B1F8" w:rsidR="002776A7" w:rsidRPr="008D3809" w:rsidRDefault="002776A7" w:rsidP="00442AD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На о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студијскум програму 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 1</w:t>
      </w:r>
      <w:r w:rsidR="00A4062C" w:rsidRPr="007279E7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442AD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0 ECTS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циклус)</w:t>
      </w:r>
      <w:r w:rsidR="00807DD3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, студирање траје </w:t>
      </w:r>
      <w:r w:rsidR="000904CB" w:rsidRPr="007279E7">
        <w:rPr>
          <w:rFonts w:ascii="Times New Roman" w:hAnsi="Times New Roman" w:cs="Times New Roman"/>
          <w:sz w:val="24"/>
          <w:szCs w:val="24"/>
          <w:lang w:val="sr-Cyrl-BA"/>
        </w:rPr>
        <w:t>три</w:t>
      </w:r>
      <w:r w:rsidR="00807DD3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годин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442ADA" w:rsidRPr="007279E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8976412" w14:textId="40C9781F" w:rsidR="00063FEF" w:rsidRPr="008D3809" w:rsidRDefault="00063FE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279E7">
        <w:rPr>
          <w:rFonts w:ascii="Times New Roman" w:hAnsi="Times New Roman" w:cs="Times New Roman"/>
          <w:sz w:val="24"/>
          <w:szCs w:val="24"/>
        </w:rPr>
        <w:t>Стандарди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система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осигурања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квалитета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у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вези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F68C9" w:rsidRPr="007279E7">
        <w:rPr>
          <w:rFonts w:ascii="Times New Roman" w:hAnsi="Times New Roman" w:cs="Times New Roman"/>
          <w:sz w:val="24"/>
          <w:szCs w:val="24"/>
        </w:rPr>
        <w:t>са</w:t>
      </w:r>
      <w:r w:rsidR="009F68C9"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F68C9" w:rsidRPr="007279E7">
        <w:rPr>
          <w:rFonts w:ascii="Times New Roman" w:hAnsi="Times New Roman" w:cs="Times New Roman"/>
          <w:sz w:val="24"/>
          <w:szCs w:val="24"/>
        </w:rPr>
        <w:t>наставним</w:t>
      </w:r>
      <w:r w:rsidR="009F68C9"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F68C9" w:rsidRPr="007279E7">
        <w:rPr>
          <w:rFonts w:ascii="Times New Roman" w:hAnsi="Times New Roman" w:cs="Times New Roman"/>
          <w:sz w:val="24"/>
          <w:szCs w:val="24"/>
        </w:rPr>
        <w:t>планом</w:t>
      </w:r>
      <w:r w:rsidR="009F68C9"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F68C9" w:rsidRPr="007279E7">
        <w:rPr>
          <w:rFonts w:ascii="Times New Roman" w:hAnsi="Times New Roman" w:cs="Times New Roman"/>
          <w:sz w:val="24"/>
          <w:szCs w:val="24"/>
        </w:rPr>
        <w:t>и</w:t>
      </w:r>
      <w:r w:rsidR="009F68C9"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F68C9" w:rsidRPr="007279E7">
        <w:rPr>
          <w:rFonts w:ascii="Times New Roman" w:hAnsi="Times New Roman" w:cs="Times New Roman"/>
          <w:sz w:val="24"/>
          <w:szCs w:val="24"/>
        </w:rPr>
        <w:t>програмом</w:t>
      </w:r>
      <w:r w:rsidR="009F68C9"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донесеним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на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студијском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програму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C017C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5C017C"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I </w:t>
      </w:r>
      <w:r w:rsidRPr="007279E7">
        <w:rPr>
          <w:rFonts w:ascii="Times New Roman" w:hAnsi="Times New Roman" w:cs="Times New Roman"/>
          <w:sz w:val="24"/>
          <w:szCs w:val="24"/>
        </w:rPr>
        <w:t>циклуса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7279E7">
        <w:rPr>
          <w:rFonts w:ascii="Times New Roman" w:hAnsi="Times New Roman" w:cs="Times New Roman"/>
          <w:sz w:val="24"/>
          <w:szCs w:val="24"/>
        </w:rPr>
        <w:t>укључују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</w:rPr>
        <w:t>сљедеће</w:t>
      </w:r>
      <w:r w:rsidRPr="008D3809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14:paraId="42E6DE94" w14:textId="40D15363" w:rsidR="00063FEF" w:rsidRPr="007279E7" w:rsidRDefault="00063FEF" w:rsidP="00F73869">
      <w:pPr>
        <w:pStyle w:val="TabelaStav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Структура наставног плана</w:t>
      </w:r>
      <w:r w:rsidR="00442ADA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Наставни план има јасну и логичку структуру која обухвата све потребне елементе за образовање студената </w:t>
      </w:r>
      <w:r w:rsidR="000904CB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у области </w:t>
      </w:r>
      <w:r w:rsidR="00031C4A" w:rsidRPr="007279E7">
        <w:rPr>
          <w:rFonts w:ascii="Times New Roman" w:hAnsi="Times New Roman" w:cs="Times New Roman"/>
          <w:sz w:val="24"/>
          <w:szCs w:val="24"/>
          <w:lang w:val="sr-Cyrl-BA"/>
        </w:rPr>
        <w:t>рачуноводств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031C4A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и ревизиј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0904CB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 </w:t>
      </w:r>
      <w:r w:rsidR="000904CB" w:rsidRPr="007279E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904CB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циклусу студија. Садржи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информације о предметима, укупном броју бодова, сатима наставе и другим активностима.</w:t>
      </w:r>
    </w:p>
    <w:p w14:paraId="2DF5BE04" w14:textId="2F506BD0" w:rsidR="00063FEF" w:rsidRPr="007279E7" w:rsidRDefault="00063FEF" w:rsidP="00F73869">
      <w:pPr>
        <w:pStyle w:val="TabelaStav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Распоред наставних активности</w:t>
      </w:r>
      <w:r w:rsidR="00442ADA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Наставни план укључује распоред наставних активности, укључујући предавања, семинаре, пројекте и друге облике активног учења. Распоред 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омогућава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студентима да 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>усвоје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потребна знања и вјештине 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>те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да 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>реализују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потребне циљеве.</w:t>
      </w:r>
    </w:p>
    <w:p w14:paraId="478768A8" w14:textId="3ED6FEF4" w:rsidR="00063FEF" w:rsidRPr="007279E7" w:rsidRDefault="00063FEF" w:rsidP="00F73869">
      <w:pPr>
        <w:pStyle w:val="TabelaStav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Садржај наставног програма</w:t>
      </w:r>
      <w:r w:rsidR="00442ADA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Наставни програм обухвата све битне теме и области 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значајне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за студенте у области </w:t>
      </w:r>
      <w:r w:rsidR="00031C4A" w:rsidRPr="007279E7">
        <w:rPr>
          <w:rFonts w:ascii="Times New Roman" w:hAnsi="Times New Roman" w:cs="Times New Roman"/>
          <w:sz w:val="24"/>
          <w:szCs w:val="24"/>
          <w:lang w:val="sr-Latn-RS"/>
        </w:rPr>
        <w:t>рачуноводство и ревизија</w:t>
      </w:r>
      <w:r w:rsidR="000904CB" w:rsidRPr="007279E7"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саглашен са захтјевима професионалне заједнице и тржишта рада, као и са научним развојем у области.</w:t>
      </w:r>
    </w:p>
    <w:p w14:paraId="30C6E0A1" w14:textId="1E4EA60A" w:rsidR="00063FEF" w:rsidRPr="007279E7" w:rsidRDefault="00063FEF" w:rsidP="00F73869">
      <w:pPr>
        <w:pStyle w:val="TabelaStav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Оцјењивање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Наставни план обухвата систем оцјењивања који је објективан, транспарентан и усаглашен са циљевима учења. Он тежи да обезбиједи ефикасну и праведну оцјену студената и да укључује различите методе оцјењивања, као што су испити, пројекти, семинарски радови и други задаци.</w:t>
      </w:r>
    </w:p>
    <w:p w14:paraId="58A45408" w14:textId="75ACA4D9" w:rsidR="00063FEF" w:rsidRPr="007279E7" w:rsidRDefault="00063FEF" w:rsidP="00F73869">
      <w:pPr>
        <w:pStyle w:val="TabelaStav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Континуирано унапређење</w:t>
      </w:r>
      <w:r w:rsidR="00442ADA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Наставни план и програм је подложан континуираном унапређењу и ажурирању у складу са промјенама у захтјевима тржишта рада, технологије и научним развојем у области </w:t>
      </w:r>
      <w:r w:rsidR="005C017C" w:rsidRPr="007279E7">
        <w:rPr>
          <w:rFonts w:ascii="Times New Roman" w:hAnsi="Times New Roman" w:cs="Times New Roman"/>
          <w:sz w:val="24"/>
          <w:szCs w:val="24"/>
          <w:lang w:val="sr-Cyrl-BA"/>
        </w:rPr>
        <w:t>рачуноводств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C017C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и ревизиј</w:t>
      </w:r>
      <w:r w:rsidR="005C017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322514C5" w14:textId="77777777" w:rsidR="00063FEF" w:rsidRPr="007279E7" w:rsidRDefault="00063FEF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B32C8B1" w14:textId="3338A50D" w:rsidR="00063FEF" w:rsidRPr="007279E7" w:rsidRDefault="00063FE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студирања.</w:t>
      </w:r>
    </w:p>
    <w:p w14:paraId="764A1579" w14:textId="77777777" w:rsidR="00063FEF" w:rsidRPr="007279E7" w:rsidRDefault="00063FEF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BA"/>
        </w:rPr>
      </w:pPr>
    </w:p>
    <w:p w14:paraId="1208AFB1" w14:textId="656CC17B" w:rsidR="00A4062C" w:rsidRPr="007279E7" w:rsidRDefault="00005E76" w:rsidP="00B161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Елаборатом о оправданости </w:t>
      </w:r>
      <w:r w:rsidRPr="008D3809">
        <w:rPr>
          <w:rFonts w:ascii="Times New Roman" w:hAnsi="Times New Roman" w:cs="Times New Roman"/>
          <w:sz w:val="24"/>
          <w:szCs w:val="24"/>
          <w:lang w:val="sr-Cyrl-BA"/>
        </w:rPr>
        <w:t>извођења студијског програма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31C4A" w:rsidRPr="008D3809">
        <w:rPr>
          <w:rFonts w:ascii="Times New Roman" w:hAnsi="Times New Roman" w:cs="Times New Roman"/>
          <w:sz w:val="24"/>
          <w:szCs w:val="24"/>
          <w:lang w:val="sr-Cyrl-BA"/>
        </w:rPr>
        <w:t>рачуноводство и ревизија</w:t>
      </w:r>
      <w:r w:rsidR="00A4062C" w:rsidRPr="008D3809">
        <w:rPr>
          <w:rFonts w:ascii="Times New Roman" w:hAnsi="Times New Roman" w:cs="Times New Roman"/>
          <w:sz w:val="24"/>
          <w:szCs w:val="24"/>
          <w:lang w:val="sr-Cyrl-BA"/>
        </w:rPr>
        <w:t xml:space="preserve"> 180 </w:t>
      </w:r>
      <w:r w:rsidR="00A4062C" w:rsidRPr="007279E7">
        <w:rPr>
          <w:rFonts w:ascii="Times New Roman" w:hAnsi="Times New Roman" w:cs="Times New Roman"/>
          <w:sz w:val="24"/>
          <w:szCs w:val="24"/>
        </w:rPr>
        <w:t>ECTS</w:t>
      </w:r>
      <w:r w:rsidRPr="008D3809">
        <w:rPr>
          <w:rFonts w:ascii="Times New Roman" w:hAnsi="Times New Roman" w:cs="Times New Roman"/>
          <w:sz w:val="24"/>
          <w:szCs w:val="24"/>
          <w:lang w:val="sr-Cyrl-BA"/>
        </w:rPr>
        <w:t xml:space="preserve"> студија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 Екон</w:t>
      </w:r>
      <w:r w:rsidR="009F68C9" w:rsidRPr="007279E7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мском факултету, предвиђено </w:t>
      </w:r>
      <w:r w:rsidR="00CD072D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да је с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аставни дио </w:t>
      </w:r>
      <w:r w:rsidR="00CD072D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академског 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студијског програма попис обавезних и изборних предмета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14:paraId="766A9A26" w14:textId="0A17C718" w:rsidR="00B16126" w:rsidRPr="007279E7" w:rsidRDefault="00442ADA" w:rsidP="00B161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Настава се рализује</w:t>
      </w:r>
      <w:r w:rsidR="00005E76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 </w:t>
      </w:r>
      <w:r w:rsidR="00A4062C" w:rsidRPr="007279E7">
        <w:rPr>
          <w:rFonts w:ascii="Times New Roman" w:hAnsi="Times New Roman" w:cs="Times New Roman"/>
          <w:sz w:val="24"/>
          <w:szCs w:val="24"/>
          <w:lang w:val="sr-Latn-RS"/>
        </w:rPr>
        <w:t>34</w:t>
      </w:r>
      <w:r w:rsidR="00005E76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0904CB" w:rsidRPr="007279E7">
        <w:rPr>
          <w:rFonts w:ascii="Times New Roman" w:hAnsi="Times New Roman" w:cs="Times New Roman"/>
          <w:sz w:val="24"/>
          <w:szCs w:val="24"/>
          <w:lang w:val="sr-Latn-RS"/>
        </w:rPr>
        <w:t>тридесетчетири)</w:t>
      </w:r>
      <w:r w:rsidR="00005E76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предмета</w:t>
      </w:r>
      <w:r w:rsidR="00A4062C" w:rsidRPr="007279E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1612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6126" w:rsidRPr="007279E7">
        <w:rPr>
          <w:rFonts w:ascii="Times New Roman" w:hAnsi="Times New Roman" w:cs="Times New Roman"/>
          <w:sz w:val="24"/>
          <w:szCs w:val="24"/>
          <w:lang w:val="sr-Cyrl-BA"/>
        </w:rPr>
        <w:t>Студенти бирају изборне предмете на почетку академске године и уносе их у семестрални лист.</w:t>
      </w:r>
    </w:p>
    <w:p w14:paraId="2E75BDBB" w14:textId="4104D792" w:rsidR="00063FEF" w:rsidRPr="007279E7" w:rsidRDefault="00B16126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Структура студијског програма са укупним удјелом у % је наведена у табели</w:t>
      </w:r>
      <w:r w:rsidR="00A4062C" w:rsidRPr="007279E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674BD8A" w14:textId="77777777" w:rsidR="00177395" w:rsidRPr="00177395" w:rsidRDefault="00177395" w:rsidP="001773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73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983F23" wp14:editId="76BAD9AF">
            <wp:extent cx="5943600" cy="541096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9F19" w14:textId="77777777" w:rsidR="00B16126" w:rsidRPr="007279E7" w:rsidRDefault="00B16126" w:rsidP="00641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F6BA1F6" w14:textId="070508B0" w:rsidR="00F40603" w:rsidRPr="007279E7" w:rsidRDefault="00F40603" w:rsidP="00F73869">
      <w:pPr>
        <w:pStyle w:val="Heading2"/>
        <w:numPr>
          <w:ilvl w:val="1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41183215"/>
      <w:r w:rsidRPr="007279E7">
        <w:rPr>
          <w:rFonts w:ascii="Times New Roman" w:hAnsi="Times New Roman" w:cs="Times New Roman"/>
          <w:color w:val="auto"/>
          <w:sz w:val="24"/>
          <w:szCs w:val="24"/>
        </w:rPr>
        <w:t>Компетенције дипломираних студената</w:t>
      </w:r>
      <w:bookmarkEnd w:id="24"/>
    </w:p>
    <w:p w14:paraId="7089B8E7" w14:textId="77777777" w:rsidR="00F7250D" w:rsidRPr="007279E7" w:rsidRDefault="00F7250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3A0E51F" w14:textId="504B3A69" w:rsidR="00AB61DB" w:rsidRPr="007279E7" w:rsidRDefault="00180A96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Студенти који заврше </w:t>
      </w:r>
      <w:r w:rsidR="000904CB"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циклус студија на Економском факултету НУБЛ-а стичу компетенције које им омогућавају разумијевање и критичко преиспитивање пословне економије, њених макро и микрое</w:t>
      </w:r>
      <w:r w:rsidR="003410A3"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кономских, економско-политичких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секторских и гранских аспеката. Биће оспособљени да рјешавају сложене реалне проблеме из праксе, те да развијају и јачају способности критичког размишљања, способности анализе пословних проблема, синтезе рјешења за настале проблеме, предвиђање ефеката изабраног рјешења, односно евалуацију рјешења, са јасним одређењем и дистинкцијом добрих и лоших страна изабране алтернативе. </w:t>
      </w:r>
    </w:p>
    <w:p w14:paraId="34D33C54" w14:textId="0F920955" w:rsidR="00AB61DB" w:rsidRPr="007279E7" w:rsidRDefault="00180A96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Након завршетка </w:t>
      </w:r>
      <w:r w:rsidR="000904CB"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циклуса студија студенти су способни: </w:t>
      </w:r>
    </w:p>
    <w:p w14:paraId="3811F6C8" w14:textId="45AAAE49" w:rsidR="00AB61DB" w:rsidRPr="007279E7" w:rsidRDefault="00180A96" w:rsidP="00F7386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покажу знање и разумијевање у области </w:t>
      </w:r>
      <w:r w:rsidR="00031C4A" w:rsidRPr="007279E7">
        <w:rPr>
          <w:rFonts w:ascii="Times New Roman" w:hAnsi="Times New Roman" w:cs="Times New Roman"/>
          <w:bCs/>
          <w:sz w:val="24"/>
          <w:szCs w:val="24"/>
          <w:lang w:val="ru-RU"/>
        </w:rPr>
        <w:t>рачуноводств</w:t>
      </w:r>
      <w:r w:rsidR="00F04CD7"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="00031C4A"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ревизиј</w:t>
      </w:r>
      <w:r w:rsidR="00F04CD7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="000904CB"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904CB"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пословне економије, које допуњује знање и способности стечене након завршетка првог циклуса студија, а представља основу за развијање аутономног критичног мишљења и примјену стечених знања и вјештина;</w:t>
      </w:r>
    </w:p>
    <w:p w14:paraId="769778C7" w14:textId="77777777" w:rsidR="00AB61DB" w:rsidRPr="007279E7" w:rsidRDefault="00180A96" w:rsidP="00F7386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интегришу знања и вјештине у циљу рјешавања сложених проблема и да просуђују на основу доступних информација које садрже промишљања о друштвеној и етичкој одговорности, повезаној са примјеном стечених знања; </w:t>
      </w:r>
    </w:p>
    <w:p w14:paraId="4CF220CC" w14:textId="77777777" w:rsidR="00AB61DB" w:rsidRPr="007279E7" w:rsidRDefault="00180A96" w:rsidP="00F7386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да на јасан и недвосмислен начин пренесу расположива знања и начин закључивања стручној и широј јавности. </w:t>
      </w:r>
    </w:p>
    <w:p w14:paraId="63C840E5" w14:textId="6B4CCF96" w:rsidR="00F04CD7" w:rsidRDefault="00180A96" w:rsidP="00F04CD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Студенти су такође оспособљени да напишу и презентују резултате свог </w:t>
      </w:r>
      <w:r w:rsidR="000904CB"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>самосталног истраживачко-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научног рада, као и да прате и примјењују новине у струци, те да остварују квалитетну сарадњу у релевантном окружењу. Склоност ка тимском раду и развоју професионалне етике је посебна компетитивна предност. Стечена знања и вјештине студенти могу примјењивати у пословном и научно</w:t>
      </w:r>
      <w:r w:rsidR="000904CB"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истраживачком окружењу.</w:t>
      </w:r>
      <w:r w:rsidR="00F04CD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2626A3BF" w14:textId="06C7E5AA" w:rsidR="00F04CD7" w:rsidRPr="008D3809" w:rsidRDefault="00F04CD7" w:rsidP="00F04CD7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Изучавањем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унапређују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знања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стечена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првом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циклусу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студија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стичу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дубље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разумевање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кључних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економских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финансијских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појмова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као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што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: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биланса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стања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надзора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управљања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ревизија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примењена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међународних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рачуноводствених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стандарда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пројектована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ризика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стратешко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планирање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доношење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одлука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.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Посебно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подстиче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примењена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стечених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знања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различитим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организацијама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било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питању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приватна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јавна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непрофитна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предузећа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што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обезбеђује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широк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спектар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могућности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8D3809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F04C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професију</w:t>
      </w:r>
    </w:p>
    <w:p w14:paraId="72C6552C" w14:textId="3132E80C" w:rsidR="000904CB" w:rsidRPr="007279E7" w:rsidRDefault="000904CB" w:rsidP="000904C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Исходи процеса учења:</w:t>
      </w:r>
    </w:p>
    <w:p w14:paraId="6646652E" w14:textId="6ED28D7B" w:rsidR="000904CB" w:rsidRPr="007279E7" w:rsidRDefault="000904CB" w:rsidP="00F73869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Остваривање нових резултата у истраживањима која се односе на управљање људским ресурсима, иновацијама и сл.</w:t>
      </w:r>
    </w:p>
    <w:p w14:paraId="35A4802F" w14:textId="03823AC2" w:rsidR="000904CB" w:rsidRPr="007279E7" w:rsidRDefault="000904CB" w:rsidP="00F73869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Могућност за научно-истраживачки рад у домену </w:t>
      </w:r>
      <w:r w:rsidR="00031C4A"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рачуноводство и ревизија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а, уз примjену савремених метода</w:t>
      </w:r>
    </w:p>
    <w:p w14:paraId="77BF040E" w14:textId="579F4978" w:rsidR="00AB61DB" w:rsidRPr="007279E7" w:rsidRDefault="000904CB" w:rsidP="00F73869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Могућност за наставак студија на II циклусу у оквиру </w:t>
      </w:r>
      <w:r w:rsidR="00044AFB"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научне области економија и пословањe, посебно уже научне области </w:t>
      </w:r>
      <w:r w:rsidR="00031C4A" w:rsidRPr="007279E7">
        <w:rPr>
          <w:rFonts w:ascii="Times New Roman" w:hAnsi="Times New Roman" w:cs="Times New Roman"/>
          <w:sz w:val="24"/>
          <w:szCs w:val="24"/>
          <w:lang w:val="sr-Latn-CS"/>
        </w:rPr>
        <w:t>рачуноводство и ревизија</w:t>
      </w:r>
    </w:p>
    <w:p w14:paraId="5C1435F2" w14:textId="52339104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41183216"/>
      <w:r w:rsidRPr="007279E7">
        <w:rPr>
          <w:rFonts w:ascii="Times New Roman" w:hAnsi="Times New Roman" w:cs="Times New Roman"/>
          <w:color w:val="auto"/>
          <w:sz w:val="24"/>
          <w:szCs w:val="24"/>
        </w:rPr>
        <w:t>Учење, подучавање и вредновање усмјерени на студента</w:t>
      </w:r>
      <w:bookmarkEnd w:id="25"/>
    </w:p>
    <w:p w14:paraId="0FEE0989" w14:textId="77777777" w:rsidR="00F7250D" w:rsidRPr="007279E7" w:rsidRDefault="00F7250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F438E0D" w14:textId="5E514449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Настава на </w:t>
      </w:r>
      <w:r w:rsidR="00044AFB" w:rsidRPr="007279E7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циклусу студија </w:t>
      </w:r>
      <w:r w:rsidR="00063FEF"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изводи 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се у складу са савременим достигнућима наставно – научног и наставно – образовног процеса, примјењујући савремена технолошка достигнућа, посебно у примјени информатичких технологија. Наставне активности се организ</w:t>
      </w:r>
      <w:r w:rsidR="00044AFB" w:rsidRPr="007279E7">
        <w:rPr>
          <w:rFonts w:ascii="Times New Roman" w:hAnsi="Times New Roman" w:cs="Times New Roman"/>
          <w:sz w:val="24"/>
          <w:szCs w:val="24"/>
          <w:lang w:val="sr-Latn-CS"/>
        </w:rPr>
        <w:t>yje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по семестрима уз континуирано интерактивно праћење и оцјењивање рада.  У фокусу свих активности је студент и његове потребе за стицањем одговарајућих знања и вјештина, и сва технологија рада на студијском програму ће бити усмјерена у том правцу. Праћење и оцјењивање укупних активности одвија се кроз:</w:t>
      </w:r>
    </w:p>
    <w:p w14:paraId="0DAD87E1" w14:textId="6EB57A3C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присуство настави и другим наставним акти</w:t>
      </w:r>
      <w:r w:rsidR="00063FEF" w:rsidRPr="007279E7">
        <w:rPr>
          <w:rFonts w:ascii="Times New Roman" w:hAnsi="Times New Roman" w:cs="Times New Roman"/>
          <w:sz w:val="24"/>
          <w:szCs w:val="24"/>
          <w:lang w:val="sr-Latn-CS"/>
        </w:rPr>
        <w:t>вностима (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вјежбе, консултације, семинари, студије случаја, презентације, индивидуално и групно рјешавање проблема),</w:t>
      </w:r>
    </w:p>
    <w:p w14:paraId="55427FA7" w14:textId="393935AC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праћење и вредновање активности студената у настави и другим наставним активностима,</w:t>
      </w:r>
    </w:p>
    <w:p w14:paraId="73281D5B" w14:textId="67E76A97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колоквијалне провјере знања,</w:t>
      </w:r>
    </w:p>
    <w:p w14:paraId="64FB1747" w14:textId="437EF7C5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студије случаја,</w:t>
      </w:r>
    </w:p>
    <w:p w14:paraId="0FB8FC4D" w14:textId="4791BA5C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израда семинарских радова и/или презентација,</w:t>
      </w:r>
    </w:p>
    <w:p w14:paraId="46B3D2F7" w14:textId="7437AE14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израда домаћих задатака и/или есеја,</w:t>
      </w:r>
    </w:p>
    <w:p w14:paraId="7BB12205" w14:textId="7DED4337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континуирана интеракција студент – наставник,</w:t>
      </w:r>
    </w:p>
    <w:p w14:paraId="55732748" w14:textId="1F5B6246" w:rsidR="0057419B" w:rsidRPr="007279E7" w:rsidRDefault="0057419B" w:rsidP="00F73869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тематске провјере.</w:t>
      </w:r>
    </w:p>
    <w:p w14:paraId="28D3E273" w14:textId="4A3E24AE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Настава се у току академске године организује у два семестра. Један семестар студија вреднује се са 30 </w:t>
      </w:r>
      <w:r w:rsidR="00777157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. Предмети су једносеместрални. Наставни план садржи највише пет предмета по семестру. Предмети не могу бити вредновани са мање од 3, нити више од 10 </w:t>
      </w:r>
      <w:r w:rsidR="00777157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63A31996" w14:textId="77777777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Укупно ангажовање студената одвија се кроз:</w:t>
      </w:r>
    </w:p>
    <w:p w14:paraId="03197819" w14:textId="0E8F04CE" w:rsidR="0057419B" w:rsidRPr="007279E7" w:rsidRDefault="0057419B" w:rsidP="00F7386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Непосредна настава;</w:t>
      </w:r>
    </w:p>
    <w:p w14:paraId="00432B50" w14:textId="266A61C0" w:rsidR="00DB30D5" w:rsidRPr="007279E7" w:rsidRDefault="0057419B" w:rsidP="00F7386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Самосталан рад студената</w:t>
      </w:r>
    </w:p>
    <w:p w14:paraId="0E97ED65" w14:textId="77777777" w:rsidR="00B4048F" w:rsidRPr="007279E7" w:rsidRDefault="00B4048F" w:rsidP="00641B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23267E14" w14:textId="2E0EF348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Непосредна настава</w:t>
      </w:r>
    </w:p>
    <w:p w14:paraId="16BF8135" w14:textId="19415F28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Непосредна настава реализује се кроз континуирани контакт студената са наставницима и сарадницима, у складу са академским календаром и распоредом предиспитних и испитних обавеза студената. Обим непосредне наставе је од 20 – 25 часова седмично. Минимално 50% наставе су часови предавања, а осталих 50% вјежбе и други облици непосредне наставе.</w:t>
      </w:r>
    </w:p>
    <w:p w14:paraId="4BCC8613" w14:textId="7BEC4F74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Непосредна настава се реализује кроз:</w:t>
      </w:r>
    </w:p>
    <w:p w14:paraId="00406D1C" w14:textId="54862E44" w:rsidR="0057419B" w:rsidRPr="007279E7" w:rsidRDefault="0057419B" w:rsidP="00F7386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Предавања;</w:t>
      </w:r>
    </w:p>
    <w:p w14:paraId="42A6755B" w14:textId="08189B4F" w:rsidR="0057419B" w:rsidRPr="007279E7" w:rsidRDefault="0057419B" w:rsidP="00F7386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Вјежбе;</w:t>
      </w:r>
    </w:p>
    <w:p w14:paraId="06F10805" w14:textId="4FA69C36" w:rsidR="0057419B" w:rsidRPr="007279E7" w:rsidRDefault="0057419B" w:rsidP="00F7386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Консултације.</w:t>
      </w:r>
    </w:p>
    <w:p w14:paraId="67CD4F27" w14:textId="7BB2F08C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Стручна пракса, студијски истраживачки рад и завршни</w:t>
      </w:r>
      <w:r w:rsidR="00B4048F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-мастер 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рад не улазе у обим непосредне наставе, али се уносе у наставни план и дођељује им се одговарајући број </w:t>
      </w:r>
      <w:r w:rsidR="00777157" w:rsidRPr="007279E7">
        <w:rPr>
          <w:rFonts w:ascii="Times New Roman" w:hAnsi="Times New Roman" w:cs="Times New Roman"/>
          <w:bCs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0174C17" w14:textId="77777777" w:rsidR="008E560D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Предавања су основни облик непосредне наставе у коме наставници излажу наставне садржаје групи студената. На предавањима се излажу кључни садржаји предвиђени предметима. Ти садржаји се употпуњавају изучавањем основне и допунске литературе. </w:t>
      </w:r>
    </w:p>
    <w:p w14:paraId="4A6272DE" w14:textId="38CEC67A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Предавања се изводе уз стално интерактивно учешће студената на један од начина:</w:t>
      </w:r>
    </w:p>
    <w:p w14:paraId="3DDD9779" w14:textId="6336E6C9" w:rsidR="0057419B" w:rsidRPr="007279E7" w:rsidRDefault="0057419B" w:rsidP="00F7386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Презентацијом наставних садржаја само путем усменог излагања од стране наставника;</w:t>
      </w:r>
    </w:p>
    <w:p w14:paraId="7908DB37" w14:textId="6706039A" w:rsidR="0057419B" w:rsidRPr="007279E7" w:rsidRDefault="0057419B" w:rsidP="00F7386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Презентацијом наставних садржаја са електронског записа уз примјену рачунара, видеопројектора и усменим излагањем од стране наставника;</w:t>
      </w:r>
    </w:p>
    <w:p w14:paraId="0CC836AC" w14:textId="2221EF33" w:rsidR="0057419B" w:rsidRPr="007279E7" w:rsidRDefault="003C33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7419B" w:rsidRPr="007279E7">
        <w:rPr>
          <w:rFonts w:ascii="Times New Roman" w:hAnsi="Times New Roman" w:cs="Times New Roman"/>
          <w:sz w:val="24"/>
          <w:szCs w:val="24"/>
          <w:lang w:val="sr-Latn-CS"/>
        </w:rPr>
        <w:t>аставници обезб</w:t>
      </w:r>
      <w:r w:rsidR="00B4048F" w:rsidRPr="007279E7">
        <w:rPr>
          <w:rFonts w:ascii="Times New Roman" w:hAnsi="Times New Roman" w:cs="Times New Roman"/>
          <w:sz w:val="24"/>
          <w:szCs w:val="24"/>
          <w:lang w:val="sr-Cyrl-RS"/>
        </w:rPr>
        <w:t>јеђују</w:t>
      </w:r>
      <w:r w:rsidR="0057419B"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одређене електронске записе наставних садржаја.</w:t>
      </w:r>
    </w:p>
    <w:p w14:paraId="77E6296A" w14:textId="6AECB55D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Наставници подсти</w:t>
      </w:r>
      <w:r w:rsidR="00B4048F" w:rsidRPr="007279E7">
        <w:rPr>
          <w:rFonts w:ascii="Times New Roman" w:hAnsi="Times New Roman" w:cs="Times New Roman"/>
          <w:sz w:val="24"/>
          <w:szCs w:val="24"/>
          <w:lang w:val="sr-Cyrl-RS"/>
        </w:rPr>
        <w:t>чу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интерактивност студената кроз </w:t>
      </w:r>
      <w:r w:rsidR="00B4048F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критичке осврте, 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постављање питања, анализу, расправу о изложеном садржају</w:t>
      </w:r>
      <w:r w:rsidR="00E30D8E"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и сл. Предавања се обављају у 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>намјенским просторијама Универзитета. Садржај предавања сваког предмета дат је у плану рада на предмету.</w:t>
      </w:r>
    </w:p>
    <w:p w14:paraId="53CFCBE8" w14:textId="04AFD969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Вјежбе су облик активне наставе који представља увјежбавање садржаја презентованих на предавањима. Изводе се са већим или мањим групама у зависности од комплексности садржаја који се увјежбава. Предуслов за успјешно извођење вјежби је самосталан рад студената. Циљ вјежби је да:</w:t>
      </w:r>
    </w:p>
    <w:p w14:paraId="65CE5B9F" w14:textId="72AC436F" w:rsidR="0057419B" w:rsidRPr="007279E7" w:rsidRDefault="00B4048F" w:rsidP="00F7386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Унаприједе и примјене</w:t>
      </w:r>
      <w:r w:rsidR="0057419B"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знања усвојена на предавањима;</w:t>
      </w:r>
    </w:p>
    <w:p w14:paraId="389DC285" w14:textId="62866F4F" w:rsidR="0057419B" w:rsidRPr="007279E7" w:rsidRDefault="0057419B" w:rsidP="00F7386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Прикажу разноврсност могућих рјешења кроз креативност рада;</w:t>
      </w:r>
    </w:p>
    <w:p w14:paraId="173C4767" w14:textId="0CAAB4ED" w:rsidR="0057419B" w:rsidRPr="007279E7" w:rsidRDefault="0057419B" w:rsidP="00F7386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Прикажу и допуне садржај предавања искуствима реалне праксе;</w:t>
      </w:r>
    </w:p>
    <w:p w14:paraId="7E8C0126" w14:textId="67D6326B" w:rsidR="0057419B" w:rsidRPr="007279E7" w:rsidRDefault="0057419B" w:rsidP="00F7386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Уваже и укажу на посебност сваког предмета појединачно.</w:t>
      </w:r>
    </w:p>
    <w:p w14:paraId="5C14FAA0" w14:textId="69344957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Вјежбе се организују и изводе као: аудиторне, рачунске, рачунарске, практичне и језичке. План извођења вјежби припрема и реализује сарадник уз сагласност предметног наставника.</w:t>
      </w:r>
    </w:p>
    <w:p w14:paraId="2BDFB4A7" w14:textId="4427F109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Консултације представљају облик активне наставе у коме наставник и сарадник сваке седмице обављају разговоре са студентима о питањима које студенти кандидују. Има за циљ детаљнију елаборацију недовољно објашњених питања са предавања, вјежби и </w:t>
      </w:r>
      <w:r w:rsidR="00E30D8E" w:rsidRPr="007279E7">
        <w:rPr>
          <w:rFonts w:ascii="Times New Roman" w:hAnsi="Times New Roman" w:cs="Times New Roman"/>
          <w:sz w:val="24"/>
          <w:szCs w:val="24"/>
          <w:lang w:val="sr-Latn-CS"/>
        </w:rPr>
        <w:t>други</w:t>
      </w:r>
      <w:r w:rsidR="00E30D8E" w:rsidRPr="007279E7">
        <w:rPr>
          <w:rFonts w:ascii="Times New Roman" w:hAnsi="Times New Roman" w:cs="Times New Roman"/>
          <w:sz w:val="24"/>
          <w:szCs w:val="24"/>
          <w:lang w:val="sr-Cyrl-BA"/>
        </w:rPr>
        <w:t>х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наставних активности. На консултацијама се врши анализа остварених резултата студента на предиспитним обавезама и испиту. Консултације могу бити индивидуалне или групне, а циљ је пружити помоћ студенту (студентима) у самосталном и групном раду и савладавању садржаја сваког предмета појединачно и квалитетној припреми испита.</w:t>
      </w:r>
    </w:p>
    <w:p w14:paraId="2E437B81" w14:textId="74EC2DF8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Посјете предузећима и установама представљају активан дио наставног процеса у коме се студенти упознају са реалним привредним и друштвеним окружењем. </w:t>
      </w:r>
      <w:r w:rsidR="00587B54" w:rsidRPr="007279E7">
        <w:rPr>
          <w:rFonts w:ascii="Times New Roman" w:hAnsi="Times New Roman" w:cs="Times New Roman"/>
          <w:sz w:val="24"/>
          <w:szCs w:val="24"/>
          <w:lang w:val="sr-Cyrl-RS"/>
        </w:rPr>
        <w:t>Током п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осјета студенти 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примјењују теоријска знања 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уоч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>авају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логичне односе и везе између теорије и реалне праксе.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Такође, стичу радне вјештине и уче нове појединости у вези са одређеним процесима.</w:t>
      </w:r>
    </w:p>
    <w:p w14:paraId="6DE5C2F3" w14:textId="7497F4F1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Самосталан рад студената</w:t>
      </w:r>
    </w:p>
    <w:p w14:paraId="2274E23C" w14:textId="70465017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Самостални рад студената се састоји од учења и анализе наставних садржаја од стране са циљем усвајања садржаја са наставних активности. Студенти самостално уче и припремају се </w:t>
      </w:r>
      <w:r w:rsidR="00E30D8E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све облике активне наставе. Наставници и сарадници прате и 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>воде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студентим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самосталном раду, посебно кроз консултације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менторски рад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>Овај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рад студената може бити појединачни и/или групни.</w:t>
      </w:r>
    </w:p>
    <w:p w14:paraId="7917D84F" w14:textId="78914DD3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Самостални рад студената реализује се кроз следеће облике:</w:t>
      </w:r>
    </w:p>
    <w:p w14:paraId="22D2379A" w14:textId="00D7CE1D" w:rsidR="0057419B" w:rsidRPr="007279E7" w:rsidRDefault="0057419B" w:rsidP="00F7386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Припрема за предавања и вјежбе</w:t>
      </w:r>
    </w:p>
    <w:p w14:paraId="75ABCDCF" w14:textId="16597485" w:rsidR="0057419B" w:rsidRPr="007279E7" w:rsidRDefault="0057419B" w:rsidP="00F7386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</w:rPr>
        <w:t>Израда семинарских радова</w:t>
      </w:r>
    </w:p>
    <w:p w14:paraId="5B03673F" w14:textId="62EF6DF0" w:rsidR="0057419B" w:rsidRPr="007279E7" w:rsidRDefault="0057419B" w:rsidP="00F7386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Писање есеја или студија  случаја</w:t>
      </w:r>
    </w:p>
    <w:p w14:paraId="2C9CCF34" w14:textId="5E75A95E" w:rsidR="0057419B" w:rsidRPr="007279E7" w:rsidRDefault="0057419B" w:rsidP="00F7386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</w:rPr>
        <w:t>Припрема за колоквиј</w:t>
      </w:r>
    </w:p>
    <w:p w14:paraId="16C5C646" w14:textId="5F8723CF" w:rsidR="0057419B" w:rsidRPr="007279E7" w:rsidRDefault="0057419B" w:rsidP="00F7386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</w:rPr>
        <w:t>Припрема за испит</w:t>
      </w:r>
    </w:p>
    <w:p w14:paraId="3C5430BD" w14:textId="4594261E" w:rsidR="0057419B" w:rsidRPr="007279E7" w:rsidRDefault="00587B54" w:rsidP="00F7386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7419B" w:rsidRPr="007279E7">
        <w:rPr>
          <w:rFonts w:ascii="Times New Roman" w:hAnsi="Times New Roman" w:cs="Times New Roman"/>
          <w:sz w:val="24"/>
          <w:szCs w:val="24"/>
          <w:lang w:val="ru-RU"/>
        </w:rPr>
        <w:t>рак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тичан рад</w:t>
      </w:r>
      <w:r w:rsidR="0057419B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 писање извјештаја о раду</w:t>
      </w:r>
    </w:p>
    <w:p w14:paraId="21860599" w14:textId="63FB5C97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Актима </w:t>
      </w:r>
      <w:r w:rsidR="00E30D8E" w:rsidRPr="007279E7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ниверзитета детаљно су описани сви облици самосталног рада студената.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Испитивање и оцјењивање студената је усаглашено са установљеним исходима учења, а њихов резултат је сазнање да ли су исходи учења постигнути или нису.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Евалуацијом укупних активности студената током реализације студијског програма, студент </w:t>
      </w:r>
      <w:r w:rsidR="00777157" w:rsidRPr="007279E7">
        <w:rPr>
          <w:rFonts w:ascii="Times New Roman" w:hAnsi="Times New Roman" w:cs="Times New Roman"/>
          <w:sz w:val="24"/>
          <w:szCs w:val="24"/>
          <w:lang w:val="sr-Cyrl-RS"/>
        </w:rPr>
        <w:t>стиче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бодове који су предвиђени за поједине активности, у складу са Правилником о студирању и наставним програмом за сваки поједини предмет. Исказано знање студената оцјењује се према критеријима Закона о високом образовању, Статута </w:t>
      </w:r>
      <w:r w:rsidR="00E30D8E" w:rsidRPr="007279E7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ниверзитета и Правилника о студирању.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активност. Испуњавањем предиспитних обавеза и полагањем испита студент може остварити највише 100 поена. Вредновање предиспитних обавеза врши се у складу са Правилником о студирању, који доноси Сенат универзитета. </w:t>
      </w:r>
    </w:p>
    <w:p w14:paraId="2D917249" w14:textId="50960D26" w:rsidR="0057419B" w:rsidRPr="007279E7" w:rsidRDefault="0057419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Наставници и сарадници врше редовно евидентирање и вредновање свих предиспитних и испитних активности студената. Укупно остварени број поена преводи се у коначну (закључну) оцјену, која показује успјешност у савладаности предмета, а може бити од 5 (није положио</w:t>
      </w:r>
      <w:r w:rsidR="00194F62" w:rsidRPr="007279E7">
        <w:rPr>
          <w:rFonts w:ascii="Times New Roman" w:hAnsi="Times New Roman" w:cs="Times New Roman"/>
          <w:sz w:val="24"/>
          <w:szCs w:val="24"/>
          <w:lang w:val="ru-RU"/>
        </w:rPr>
        <w:t>) до 10 (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одличан – изврстан). </w:t>
      </w:r>
    </w:p>
    <w:p w14:paraId="77E30D7B" w14:textId="77777777" w:rsidR="00587B54" w:rsidRPr="007279E7" w:rsidRDefault="00587B54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CAB731" w14:textId="2188D116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41183217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Упис и напредовање студената, признавање </w:t>
      </w:r>
      <w:bookmarkEnd w:id="26"/>
    </w:p>
    <w:p w14:paraId="71D41BCE" w14:textId="77777777" w:rsidR="003D00A4" w:rsidRPr="007279E7" w:rsidRDefault="003D00A4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Стандарди система осигурања квалитета у вези са уписом и напредовањем студената, признавањем и сертификовањем, према овом студијском програму укључују сљедеће аспекте:</w:t>
      </w:r>
    </w:p>
    <w:p w14:paraId="713BA797" w14:textId="6D3D3C1C" w:rsidR="003D00A4" w:rsidRPr="007279E7" w:rsidRDefault="003D00A4" w:rsidP="00F7386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Транспарентни и адекватни услови за упис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има јасне и транспарентне критеријуме и процедуре за упис студената. Уписни процес је приступачан и пропорционалан, и заснива се на заслуженим квалификацијама и компетенцијама студената.</w:t>
      </w:r>
    </w:p>
    <w:p w14:paraId="18995281" w14:textId="6ED00ADB" w:rsidR="003D00A4" w:rsidRPr="007279E7" w:rsidRDefault="003D00A4" w:rsidP="00F7386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Мониторинг напредовања студената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прати напредовање студената кроз системе прегледа и оцјене. Ово укључује заслужену оцјену, редовно праћење академског напредовања и системе подршке студентима у случају изазова или проблема.</w:t>
      </w:r>
    </w:p>
    <w:p w14:paraId="4CFEE213" w14:textId="42ACDA8E" w:rsidR="003D00A4" w:rsidRPr="007279E7" w:rsidRDefault="003D00A4" w:rsidP="00F7386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Признавање претходног учења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има разрађен поступак признавања претходно стечених квалификација и учења (Правилник о поступку еквиваленције раније стечених звања, поступку вредновања високошколских исправа и поступку за признавање страних високошколских исправа за потребе наставка школовања на Независниом универзитету Бања Лука). Ово омогућава студентима који су већ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завршили одређене курсеве или стекли одређено искуство да их пренесу и признају као дио свог текућег образовања.</w:t>
      </w:r>
    </w:p>
    <w:p w14:paraId="02DDCB3A" w14:textId="720AE00F" w:rsidR="003D00A4" w:rsidRPr="007279E7" w:rsidRDefault="003D00A4" w:rsidP="00F73869">
      <w:pPr>
        <w:pStyle w:val="ListParagraph"/>
        <w:numPr>
          <w:ilvl w:val="0"/>
          <w:numId w:val="23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Квалитетни системи подршке: Факултет пружа подршку студентима у вези са уписом, напредовањем, признавањем и сертификовањем. Ова подршка укључује савјетовање, оријентацију, подучавање вјештина учења и друге облике помоћи који студентима помажу да успјешно заврше своје студије.</w:t>
      </w:r>
    </w:p>
    <w:p w14:paraId="34E76218" w14:textId="77777777" w:rsidR="00D5525A" w:rsidRPr="007279E7" w:rsidRDefault="003D00A4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Све ове мјере имају за циљ да обезбиједе поштовање стандарда квалитета у процесу уписа, напредовања, признавања и сертификовања студената, и да гарантују њихову компетентност и квалитет стечених квалификација.</w:t>
      </w:r>
      <w:r w:rsidR="00D5525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CA19E2" w14:textId="586E0A42" w:rsidR="003D00A4" w:rsidRPr="007279E7" w:rsidRDefault="00D5525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Hlk186108751"/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Универзитету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постоји прописана процедура</w:t>
      </w:r>
      <w:r w:rsidR="00B76FC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преноса </w:t>
      </w:r>
      <w:r w:rsidR="00DF5FC1" w:rsidRPr="007279E7">
        <w:rPr>
          <w:rFonts w:ascii="Times New Roman" w:hAnsi="Times New Roman" w:cs="Times New Roman"/>
          <w:sz w:val="24"/>
          <w:szCs w:val="24"/>
          <w:lang w:val="ru-RU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односно признавања испита, али и признавања стране квалификације. Све процедуре су у складу са законском регулативом о високом образовању дефинисане у оквиру </w:t>
      </w:r>
      <w:hyperlink r:id="rId10" w:history="1">
        <w:r w:rsidRPr="00771DF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„Правила о студирању на 1. и 2. </w:t>
        </w:r>
        <w:r w:rsidR="00771DF7" w:rsidRPr="00771DF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циклусу </w:t>
        </w:r>
        <w:r w:rsidRPr="00771DF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студија“</w:t>
        </w:r>
      </w:hyperlink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, као и у </w:t>
      </w:r>
      <w:hyperlink r:id="rId11" w:history="1">
        <w:r w:rsidRPr="00F7716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„Правилнику о поступку еквиваленције раније стечених звања, поступку вредновања  високошколских исправа и поступку за признавање страних високошколских исправа за потребе наставка школовања на Независном универзитету Бања Лука“.</w:t>
        </w:r>
      </w:hyperlink>
    </w:p>
    <w:bookmarkEnd w:id="27"/>
    <w:p w14:paraId="6552829C" w14:textId="29698479" w:rsidR="00044AFB" w:rsidRPr="007279E7" w:rsidRDefault="00044AFB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E2CC43" w14:textId="666254FB" w:rsidR="00F40603" w:rsidRPr="007279E7" w:rsidRDefault="00F40603" w:rsidP="00F73869">
      <w:pPr>
        <w:pStyle w:val="Heading2"/>
        <w:numPr>
          <w:ilvl w:val="1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41183218"/>
      <w:r w:rsidRPr="007279E7">
        <w:rPr>
          <w:rFonts w:ascii="Times New Roman" w:hAnsi="Times New Roman" w:cs="Times New Roman"/>
          <w:color w:val="auto"/>
          <w:sz w:val="24"/>
          <w:szCs w:val="24"/>
        </w:rPr>
        <w:t>Упис студената</w:t>
      </w:r>
      <w:bookmarkEnd w:id="28"/>
    </w:p>
    <w:p w14:paraId="65630476" w14:textId="77777777" w:rsidR="00F7250D" w:rsidRPr="007279E7" w:rsidRDefault="00F7250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5CA9227" w14:textId="77777777" w:rsidR="003D00A4" w:rsidRPr="007279E7" w:rsidRDefault="003D00A4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Стандарди система осигурања квалитета у вези са уписом студената укључују сљедеће аспекте:</w:t>
      </w:r>
    </w:p>
    <w:p w14:paraId="1755A921" w14:textId="0CEA1172" w:rsidR="003D00A4" w:rsidRPr="007279E7" w:rsidRDefault="003D00A4" w:rsidP="00F73869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Јасни критеријуми за упис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има јасно дефинисане критеријуме за упис студената. Ови критеријуми укључују академске захтјеве, предусловне курсеве, тестове </w:t>
      </w:r>
      <w:r w:rsidR="001B50A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опште информисаности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или интервјуе.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Услови уписа јасно су наведени у тексту Конкурсa за упис стиденана на први циклу студија.</w:t>
      </w:r>
    </w:p>
    <w:p w14:paraId="4C460AFD" w14:textId="6D82740F" w:rsidR="003D00A4" w:rsidRPr="007279E7" w:rsidRDefault="003D00A4" w:rsidP="00F73869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Транспарентни и адекватни услови за пријаву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је обезбиједио транспарентне и адекватне услове за пријаву студената. Ово подразумијева јасна упутства и рокове за пријаву, лак приступ апликационом систему и могућност онлајн пријаве.</w:t>
      </w:r>
    </w:p>
    <w:p w14:paraId="362067FF" w14:textId="4FFF1825" w:rsidR="003D00A4" w:rsidRPr="007279E7" w:rsidRDefault="003D00A4" w:rsidP="00F73869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Евалуација пријава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има поступак евалуације пријава студената. Ова евалуација укључује преглед академских постигнућа, портфолио, препоруке и друге релевантне документе. Процес евалуације је објективан и транспарентан.</w:t>
      </w:r>
    </w:p>
    <w:p w14:paraId="1442848C" w14:textId="1BF48181" w:rsidR="003D00A4" w:rsidRPr="007279E7" w:rsidRDefault="003D00A4" w:rsidP="00F73869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Капацитети и ресурси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обезбјеђује довољне капацитете и ресурсе за прихватање и пружање квалитетног образовања свим студентима који испуњавају услове за упис. Ово укључује довољан број наставних кадрова, лабораторијских простора, библиотеку и друге потребне инфраструктуре.</w:t>
      </w:r>
    </w:p>
    <w:p w14:paraId="56E39958" w14:textId="689B8150" w:rsidR="003D00A4" w:rsidRPr="007279E7" w:rsidRDefault="003D00A4" w:rsidP="00F73869">
      <w:pPr>
        <w:pStyle w:val="ListParagraph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Комуникација и информације</w:t>
      </w:r>
      <w:r w:rsidR="00587B54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пружа све потребне информације о упису. Ова комуникација може се обављати (по избору студента) путем веб-сајта факултета, информативних састанака, мејлова или других канала комуникације.</w:t>
      </w:r>
    </w:p>
    <w:p w14:paraId="04A358C3" w14:textId="2F8BBFF3" w:rsidR="003D00A4" w:rsidRPr="007279E7" w:rsidRDefault="003D00A4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Циљ стандарда система осигурања квалитета у вези са уписом студената је да обезбиједе </w:t>
      </w:r>
      <w:r w:rsidR="00870BD5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јаснан 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објективан процес уписа, при чему се осигуравају квалитетни и мотивисани студенти који испуњавају услове за студирање на факултету</w:t>
      </w:r>
      <w:r w:rsidR="00870BD5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2A420AB" w14:textId="1AFFBAE3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Број уписаних студената на </w:t>
      </w:r>
      <w:r w:rsidRPr="007279E7">
        <w:rPr>
          <w:rFonts w:ascii="Times New Roman" w:hAnsi="Times New Roman" w:cs="Times New Roman"/>
          <w:bCs/>
          <w:sz w:val="24"/>
          <w:szCs w:val="24"/>
          <w:lang w:val="sr-Cyrl-BA"/>
        </w:rPr>
        <w:t>прв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и циклус студија академске 2022/2023 године</w:t>
      </w:r>
      <w:r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</w:p>
    <w:p w14:paraId="3D85EBA8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8BE914" wp14:editId="23797411">
            <wp:extent cx="5943600" cy="42210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53F6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Структура уписаних студената на </w:t>
      </w:r>
      <w:r w:rsidRPr="007279E7">
        <w:rPr>
          <w:rFonts w:ascii="Times New Roman" w:hAnsi="Times New Roman" w:cs="Times New Roman"/>
          <w:bCs/>
          <w:sz w:val="24"/>
          <w:szCs w:val="24"/>
          <w:lang w:val="sr-Cyrl-BA"/>
        </w:rPr>
        <w:t>прв</w:t>
      </w: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и циклус студија академске 2022/2023 године</w:t>
      </w:r>
    </w:p>
    <w:p w14:paraId="1BD7EC98" w14:textId="77777777" w:rsidR="007279E7" w:rsidRPr="007279E7" w:rsidRDefault="007279E7" w:rsidP="007279E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6674D0" wp14:editId="469C11B9">
            <wp:extent cx="4230370" cy="3975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5018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>Ефикасност студирања</w:t>
      </w:r>
    </w:p>
    <w:p w14:paraId="18B9907F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ru-RU"/>
        </w:rPr>
        <w:t>Број студената на првом циклусу студија који су завршили студије је 2 (два) студента.</w:t>
      </w:r>
    </w:p>
    <w:p w14:paraId="21E92192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991D1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</w:rPr>
        <w:t>Испис студената</w:t>
      </w:r>
    </w:p>
    <w:p w14:paraId="751BC61B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Није било исписаних студената током академске 2022/23 године.</w:t>
      </w:r>
    </w:p>
    <w:p w14:paraId="3143E268" w14:textId="77777777" w:rsidR="00A4062C" w:rsidRPr="007279E7" w:rsidRDefault="00A4062C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14:paraId="34BC97F3" w14:textId="1FA39300" w:rsidR="00F40603" w:rsidRPr="007279E7" w:rsidRDefault="00F40603" w:rsidP="00F73869">
      <w:pPr>
        <w:pStyle w:val="Heading2"/>
        <w:numPr>
          <w:ilvl w:val="1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41183219"/>
      <w:r w:rsidRPr="007279E7">
        <w:rPr>
          <w:rFonts w:ascii="Times New Roman" w:hAnsi="Times New Roman" w:cs="Times New Roman"/>
          <w:color w:val="auto"/>
          <w:sz w:val="24"/>
          <w:szCs w:val="24"/>
        </w:rPr>
        <w:t>Оцјењивање и напредовање студената</w:t>
      </w:r>
      <w:bookmarkEnd w:id="29"/>
    </w:p>
    <w:p w14:paraId="31E7AB4E" w14:textId="77777777" w:rsidR="002B4180" w:rsidRPr="007279E7" w:rsidRDefault="002B4180" w:rsidP="00641B3D">
      <w:pPr>
        <w:pStyle w:val="TabelaStavka"/>
        <w:spacing w:line="276" w:lineRule="auto"/>
        <w:ind w:left="780" w:firstLine="0"/>
        <w:rPr>
          <w:rFonts w:ascii="Times New Roman" w:hAnsi="Times New Roman" w:cs="Times New Roman"/>
          <w:sz w:val="24"/>
          <w:szCs w:val="24"/>
        </w:rPr>
      </w:pPr>
    </w:p>
    <w:p w14:paraId="31748260" w14:textId="77777777" w:rsidR="00347C0A" w:rsidRPr="007279E7" w:rsidRDefault="00E829BC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Факултет перманентно прати резултате које студенти остварују током студија. </w:t>
      </w:r>
      <w:r w:rsidR="00347C0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циљу праћења напредовања студената у савлађивању наставног процеса, план рада предвиђа одређене облике предиспитних и испитних обавеза студената које су предмет вредновања и оцјењивања. Оцјењивање се врши додјељивањем поена за сваки утврђени облик наставе и предиспитних обавеза. </w:t>
      </w:r>
    </w:p>
    <w:p w14:paraId="5DBA61F5" w14:textId="786D8DB2" w:rsidR="00347C0A" w:rsidRPr="007279E7" w:rsidRDefault="00347C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Показано знање студената оцјењује се према Закону о високом образовању, Статуту Универзитета и Правилнику о студирању на првом и другом циклусу</w:t>
      </w:r>
      <w:r w:rsidR="008E560D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студија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На почетку академске године наставник је обавезан упознати студенте са начином рада и бројем бодова које доносе поједине активности. Права студента се односе на право да буду упознати са свим правима и обавезама и дужностима, да имају слободу, да искажу своје мишљење о квалитету наставе и раду академског особља, да учествују на изборима за студентска мјеста у студентским представничким тијелима, као и сва друга права у складу са наведеним прописима. </w:t>
      </w:r>
    </w:p>
    <w:p w14:paraId="6684E264" w14:textId="77777777" w:rsidR="00347C0A" w:rsidRPr="007279E7" w:rsidRDefault="00347C0A" w:rsidP="00641B3D">
      <w:pPr>
        <w:pStyle w:val="TabelaStavka"/>
        <w:spacing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ru-RU" w:eastAsia="en-US"/>
          <w14:ligatures w14:val="standardContextual"/>
        </w:rPr>
      </w:pPr>
      <w:r w:rsidRPr="007279E7">
        <w:rPr>
          <w:rFonts w:ascii="Times New Roman" w:eastAsiaTheme="minorHAnsi" w:hAnsi="Times New Roman" w:cs="Times New Roman"/>
          <w:kern w:val="2"/>
          <w:sz w:val="24"/>
          <w:szCs w:val="24"/>
          <w:lang w:val="ru-RU" w:eastAsia="en-US"/>
          <w14:ligatures w14:val="standardContextual"/>
        </w:rPr>
        <w:lastRenderedPageBreak/>
        <w:t>Број поена које студент може да добије на основу одређене предиспитне обавезе као и скала</w:t>
      </w:r>
    </w:p>
    <w:p w14:paraId="3B22CB02" w14:textId="3F34C561" w:rsidR="00E829BC" w:rsidRPr="007279E7" w:rsidRDefault="00347C0A" w:rsidP="00641B3D">
      <w:pPr>
        <w:pStyle w:val="TabelaStavka"/>
        <w:spacing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ru-RU" w:eastAsia="en-US"/>
          <w14:ligatures w14:val="standardContextual"/>
        </w:rPr>
      </w:pPr>
      <w:r w:rsidRPr="007279E7">
        <w:rPr>
          <w:rFonts w:ascii="Times New Roman" w:eastAsiaTheme="minorHAnsi" w:hAnsi="Times New Roman" w:cs="Times New Roman"/>
          <w:kern w:val="2"/>
          <w:sz w:val="24"/>
          <w:szCs w:val="24"/>
          <w:lang w:val="ru-RU" w:eastAsia="en-US"/>
          <w14:ligatures w14:val="standardContextual"/>
        </w:rPr>
        <w:t>оцјењивања су дефинисани у Правилнику о студирању</w:t>
      </w:r>
    </w:p>
    <w:p w14:paraId="7DFE2B0D" w14:textId="77777777" w:rsidR="00347C0A" w:rsidRPr="007279E7" w:rsidRDefault="00347C0A" w:rsidP="00641B3D">
      <w:pPr>
        <w:pStyle w:val="TabelaStavka"/>
        <w:spacing w:line="276" w:lineRule="auto"/>
        <w:rPr>
          <w:rFonts w:ascii="Times New Roman" w:eastAsiaTheme="minorHAnsi" w:hAnsi="Times New Roman" w:cs="Times New Roman"/>
          <w:kern w:val="2"/>
          <w:sz w:val="24"/>
          <w:szCs w:val="24"/>
          <w:lang w:val="ru-RU" w:eastAsia="en-US"/>
          <w14:ligatures w14:val="standardContextu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2257"/>
        <w:gridCol w:w="1419"/>
        <w:gridCol w:w="2420"/>
        <w:gridCol w:w="1388"/>
      </w:tblGrid>
      <w:tr w:rsidR="00B76FC8" w:rsidRPr="007279E7" w14:paraId="04A18993" w14:textId="77777777" w:rsidTr="002357E6">
        <w:trPr>
          <w:jc w:val="center"/>
        </w:trPr>
        <w:tc>
          <w:tcPr>
            <w:tcW w:w="879" w:type="dxa"/>
          </w:tcPr>
          <w:p w14:paraId="421E0B43" w14:textId="402B1AB5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ПОЕНИ</w:t>
            </w:r>
          </w:p>
        </w:tc>
        <w:tc>
          <w:tcPr>
            <w:tcW w:w="2257" w:type="dxa"/>
          </w:tcPr>
          <w:p w14:paraId="15A2D5D8" w14:textId="02D08A93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ОПИСНА ОЦЈЕНА</w:t>
            </w:r>
          </w:p>
        </w:tc>
        <w:tc>
          <w:tcPr>
            <w:tcW w:w="1419" w:type="dxa"/>
          </w:tcPr>
          <w:p w14:paraId="22F28468" w14:textId="3F965A75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  <w:tc>
          <w:tcPr>
            <w:tcW w:w="2420" w:type="dxa"/>
          </w:tcPr>
          <w:p w14:paraId="3BF626EC" w14:textId="77777777" w:rsidR="002357E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ОПИСНА ОЦЈЕНА</w:t>
            </w:r>
          </w:p>
          <w:p w14:paraId="4CCE4174" w14:textId="05E84D9D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ЕНГЛЕСКИ</w:t>
            </w:r>
          </w:p>
        </w:tc>
        <w:tc>
          <w:tcPr>
            <w:tcW w:w="1388" w:type="dxa"/>
          </w:tcPr>
          <w:p w14:paraId="387770C3" w14:textId="592DB4F7" w:rsidR="002357E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  <w:p w14:paraId="1FB1D769" w14:textId="2A9886C8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ОЦЈЕНА</w:t>
            </w:r>
          </w:p>
        </w:tc>
      </w:tr>
      <w:tr w:rsidR="00B76FC8" w:rsidRPr="007279E7" w14:paraId="5DB33F9C" w14:textId="77777777" w:rsidTr="002357E6">
        <w:trPr>
          <w:jc w:val="center"/>
        </w:trPr>
        <w:tc>
          <w:tcPr>
            <w:tcW w:w="879" w:type="dxa"/>
            <w:vMerge w:val="restart"/>
          </w:tcPr>
          <w:p w14:paraId="4427893F" w14:textId="6278C543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  <w:vMerge w:val="restart"/>
          </w:tcPr>
          <w:p w14:paraId="3D4190F7" w14:textId="77777777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није положио </w:t>
            </w:r>
          </w:p>
          <w:p w14:paraId="3BC8FC3F" w14:textId="44319583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14:paraId="52D24BF8" w14:textId="77777777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пет  ( 5 )</w:t>
            </w:r>
          </w:p>
          <w:p w14:paraId="2881C5DE" w14:textId="17632D6C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590AC58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1388" w:type="dxa"/>
          </w:tcPr>
          <w:p w14:paraId="6A306583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76FC8" w:rsidRPr="007279E7" w14:paraId="3851E6AE" w14:textId="77777777" w:rsidTr="002357E6">
        <w:trPr>
          <w:jc w:val="center"/>
        </w:trPr>
        <w:tc>
          <w:tcPr>
            <w:tcW w:w="879" w:type="dxa"/>
            <w:vMerge/>
          </w:tcPr>
          <w:p w14:paraId="409C2887" w14:textId="77777777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41CB8940" w14:textId="77777777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385D3DA8" w14:textId="77777777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C1334F7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1388" w:type="dxa"/>
          </w:tcPr>
          <w:p w14:paraId="37E3C6E4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B76FC8" w:rsidRPr="007279E7" w14:paraId="2AE0721B" w14:textId="77777777" w:rsidTr="002357E6">
        <w:trPr>
          <w:jc w:val="center"/>
        </w:trPr>
        <w:tc>
          <w:tcPr>
            <w:tcW w:w="879" w:type="dxa"/>
          </w:tcPr>
          <w:p w14:paraId="390B707C" w14:textId="759851F5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14:paraId="06E725A2" w14:textId="27748F0C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</w:p>
        </w:tc>
        <w:tc>
          <w:tcPr>
            <w:tcW w:w="1419" w:type="dxa"/>
          </w:tcPr>
          <w:p w14:paraId="6C9B707F" w14:textId="5413D75B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шест ( 6 )</w:t>
            </w:r>
          </w:p>
        </w:tc>
        <w:tc>
          <w:tcPr>
            <w:tcW w:w="2420" w:type="dxa"/>
          </w:tcPr>
          <w:p w14:paraId="22379E44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</w:p>
        </w:tc>
        <w:tc>
          <w:tcPr>
            <w:tcW w:w="1388" w:type="dxa"/>
          </w:tcPr>
          <w:p w14:paraId="4ABF605B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76FC8" w:rsidRPr="007279E7" w14:paraId="42AB2629" w14:textId="77777777" w:rsidTr="002357E6">
        <w:trPr>
          <w:jc w:val="center"/>
        </w:trPr>
        <w:tc>
          <w:tcPr>
            <w:tcW w:w="879" w:type="dxa"/>
          </w:tcPr>
          <w:p w14:paraId="7F8630A0" w14:textId="669128BB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14:paraId="5A045A84" w14:textId="75039E89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</w:p>
        </w:tc>
        <w:tc>
          <w:tcPr>
            <w:tcW w:w="1419" w:type="dxa"/>
          </w:tcPr>
          <w:p w14:paraId="74116579" w14:textId="59A8AC16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седам ( 7 )</w:t>
            </w:r>
          </w:p>
        </w:tc>
        <w:tc>
          <w:tcPr>
            <w:tcW w:w="2420" w:type="dxa"/>
          </w:tcPr>
          <w:p w14:paraId="5A6EC5E5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1388" w:type="dxa"/>
          </w:tcPr>
          <w:p w14:paraId="66AAD49B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76FC8" w:rsidRPr="007279E7" w14:paraId="6E0DA0D6" w14:textId="77777777" w:rsidTr="002357E6">
        <w:trPr>
          <w:jc w:val="center"/>
        </w:trPr>
        <w:tc>
          <w:tcPr>
            <w:tcW w:w="879" w:type="dxa"/>
          </w:tcPr>
          <w:p w14:paraId="3AE3C34B" w14:textId="1A636621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14:paraId="4EC7EA43" w14:textId="1A6866B6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врло добар</w:t>
            </w:r>
          </w:p>
        </w:tc>
        <w:tc>
          <w:tcPr>
            <w:tcW w:w="1419" w:type="dxa"/>
          </w:tcPr>
          <w:p w14:paraId="6672FA42" w14:textId="52DC2D42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осам ( 8 )</w:t>
            </w:r>
          </w:p>
        </w:tc>
        <w:tc>
          <w:tcPr>
            <w:tcW w:w="2420" w:type="dxa"/>
          </w:tcPr>
          <w:p w14:paraId="63F7A1B9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388" w:type="dxa"/>
          </w:tcPr>
          <w:p w14:paraId="2E0417B1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76FC8" w:rsidRPr="007279E7" w14:paraId="458B6836" w14:textId="77777777" w:rsidTr="002357E6">
        <w:trPr>
          <w:jc w:val="center"/>
        </w:trPr>
        <w:tc>
          <w:tcPr>
            <w:tcW w:w="879" w:type="dxa"/>
          </w:tcPr>
          <w:p w14:paraId="1BE03325" w14:textId="47D0FAB0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14:paraId="0316E098" w14:textId="02ABF50F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</w:p>
        </w:tc>
        <w:tc>
          <w:tcPr>
            <w:tcW w:w="1419" w:type="dxa"/>
          </w:tcPr>
          <w:p w14:paraId="1FB2EC01" w14:textId="7CF35959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девет ( 9 )</w:t>
            </w:r>
          </w:p>
        </w:tc>
        <w:tc>
          <w:tcPr>
            <w:tcW w:w="2420" w:type="dxa"/>
          </w:tcPr>
          <w:p w14:paraId="2E14B277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388" w:type="dxa"/>
          </w:tcPr>
          <w:p w14:paraId="6B0F5060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7256" w:rsidRPr="007279E7" w14:paraId="5761349D" w14:textId="77777777" w:rsidTr="002357E6">
        <w:trPr>
          <w:jc w:val="center"/>
        </w:trPr>
        <w:tc>
          <w:tcPr>
            <w:tcW w:w="879" w:type="dxa"/>
          </w:tcPr>
          <w:p w14:paraId="1029CAD8" w14:textId="7F2184F5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157"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2257" w:type="dxa"/>
          </w:tcPr>
          <w:p w14:paraId="2E57712C" w14:textId="091F62CB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одличан – изузетан </w:t>
            </w:r>
          </w:p>
        </w:tc>
        <w:tc>
          <w:tcPr>
            <w:tcW w:w="1419" w:type="dxa"/>
          </w:tcPr>
          <w:p w14:paraId="6B9D815E" w14:textId="540CA93B" w:rsidR="00567256" w:rsidRPr="007279E7" w:rsidRDefault="00567256" w:rsidP="00641B3D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десет ( 10 )</w:t>
            </w:r>
          </w:p>
        </w:tc>
        <w:tc>
          <w:tcPr>
            <w:tcW w:w="2420" w:type="dxa"/>
          </w:tcPr>
          <w:p w14:paraId="1478F1EE" w14:textId="77777777" w:rsidR="00567256" w:rsidRPr="007279E7" w:rsidRDefault="00567256" w:rsidP="002357E6">
            <w:pPr>
              <w:pStyle w:val="TabelaStavk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388" w:type="dxa"/>
          </w:tcPr>
          <w:p w14:paraId="7EE5F7D2" w14:textId="77777777" w:rsidR="00567256" w:rsidRPr="007279E7" w:rsidRDefault="00567256" w:rsidP="002357E6">
            <w:pPr>
              <w:pStyle w:val="TabelaStavk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72C58A8" w14:textId="77777777" w:rsidR="00F40603" w:rsidRPr="007279E7" w:rsidRDefault="00F40603" w:rsidP="00641B3D">
      <w:pPr>
        <w:pStyle w:val="TabelaStavk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2D33E2" w14:textId="02DFE734" w:rsidR="00F40603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 xml:space="preserve">F – FAIL  – 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>НЕДОВОЉНО – потреб</w:t>
      </w:r>
      <w:r w:rsidR="00777157"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>но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 xml:space="preserve"> је знатно </w:t>
      </w:r>
      <w:r w:rsidR="00567256"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>залагање и рад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7C588F" w14:textId="77777777" w:rsidR="00567256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 xml:space="preserve">FX – FAIL – 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>НЕДОВОЉНО – потребно је још мало рада за пролазну оцјену;</w:t>
      </w:r>
    </w:p>
    <w:p w14:paraId="6D0CC2FC" w14:textId="242EC75B" w:rsidR="00F40603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 xml:space="preserve">E – SUFFICIENT– 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>ДОВОЉНО – знање задовољава минималне критерије</w:t>
      </w:r>
      <w:r w:rsidRPr="007279E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7BE34F" w14:textId="77777777" w:rsidR="00567256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 xml:space="preserve">D – SATISFACTORY 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>– ЗАДОВОЉАВАЈУЋЕ – добро, али са значајним недостацима;</w:t>
      </w:r>
    </w:p>
    <w:p w14:paraId="2541B9E9" w14:textId="77777777" w:rsidR="00567256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 xml:space="preserve">C – GOOD  </w:t>
      </w:r>
      <w:r w:rsidR="00567256" w:rsidRPr="007279E7">
        <w:rPr>
          <w:rFonts w:ascii="Times New Roman" w:hAnsi="Times New Roman" w:cs="Times New Roman"/>
          <w:bCs/>
          <w:sz w:val="24"/>
          <w:szCs w:val="24"/>
        </w:rPr>
        <w:t>– ДОБРО – уопштено добар рад, али са већим бројем значајних грешака;</w:t>
      </w:r>
    </w:p>
    <w:p w14:paraId="0046913F" w14:textId="16B74037" w:rsidR="00F40603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 xml:space="preserve">B – VERY GOOD </w:t>
      </w:r>
      <w:r w:rsidR="00D65DEC"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5DEC" w:rsidRPr="007279E7">
        <w:rPr>
          <w:rFonts w:ascii="Times New Roman" w:hAnsi="Times New Roman" w:cs="Times New Roman"/>
          <w:bCs/>
          <w:sz w:val="24"/>
          <w:szCs w:val="24"/>
        </w:rPr>
        <w:t>–  ОДЛИЧАН - изнад просјека, али са неким грешкама;</w:t>
      </w:r>
    </w:p>
    <w:p w14:paraId="237AF520" w14:textId="5AEA0837" w:rsidR="00567256" w:rsidRPr="007279E7" w:rsidRDefault="00F4060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9E7">
        <w:rPr>
          <w:rFonts w:ascii="Times New Roman" w:hAnsi="Times New Roman" w:cs="Times New Roman"/>
          <w:bCs/>
          <w:sz w:val="24"/>
          <w:szCs w:val="24"/>
        </w:rPr>
        <w:t>A–EXCELLENT</w:t>
      </w:r>
      <w:r w:rsidR="00D65DEC" w:rsidRPr="007279E7">
        <w:rPr>
          <w:rFonts w:ascii="Times New Roman" w:hAnsi="Times New Roman" w:cs="Times New Roman"/>
          <w:bCs/>
          <w:sz w:val="24"/>
          <w:szCs w:val="24"/>
        </w:rPr>
        <w:t>– ОДЛИЧАН ( ИЗУЗЕТАН ) – изванредно знање са мањим грешкама.</w:t>
      </w:r>
    </w:p>
    <w:p w14:paraId="74AEDF5E" w14:textId="77777777" w:rsidR="008B61E5" w:rsidRPr="007279E7" w:rsidRDefault="008B61E5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CAB44FE" w14:textId="04DC87B6" w:rsidR="00A4062C" w:rsidRPr="007279E7" w:rsidRDefault="00E56BEB" w:rsidP="00A406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iCs/>
          <w:sz w:val="24"/>
          <w:szCs w:val="24"/>
          <w:lang w:val="ru-RU"/>
        </w:rPr>
        <w:t>Статистика положених испита</w:t>
      </w:r>
      <w:r w:rsidR="007844FA" w:rsidRPr="007279E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(за</w:t>
      </w:r>
      <w:r w:rsidRPr="007279E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844FA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академск</w:t>
      </w:r>
      <w:r w:rsidR="00870BD5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Pr="007279E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844FA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године 20</w:t>
      </w:r>
      <w:r w:rsidR="00870BD5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22</w:t>
      </w:r>
      <w:r w:rsidR="007844FA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/</w:t>
      </w:r>
      <w:r w:rsidR="00870BD5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23</w:t>
      </w:r>
      <w:r w:rsidR="007844FA" w:rsidRPr="007279E7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="00A4062C" w:rsidRPr="007279E7">
        <w:rPr>
          <w:rFonts w:ascii="Times New Roman" w:hAnsi="Times New Roman" w:cs="Times New Roman"/>
          <w:iCs/>
          <w:sz w:val="24"/>
          <w:szCs w:val="24"/>
          <w:lang w:val="sr-Latn-RS"/>
        </w:rPr>
        <w:t>:</w:t>
      </w:r>
    </w:p>
    <w:p w14:paraId="305300AD" w14:textId="77777777" w:rsidR="007279E7" w:rsidRPr="007279E7" w:rsidRDefault="007279E7" w:rsidP="007279E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>Рачуноводство и ревизија – први циклус РР-180 академска 2022/23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617F9B74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A3F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51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Финансијска анализа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CD33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2A8388D4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D0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D5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61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FD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37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20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64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3BB614E6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0F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6F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5C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AA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CB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11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68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03B8BCC6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F0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4A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61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8B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FC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67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30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66EDB805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CD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85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A0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3E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B9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97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96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0731EED5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7B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13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2E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44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5B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8F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E3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1A41E99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0A3AD077" w14:textId="77777777" w:rsidTr="007279E7">
        <w:trPr>
          <w:trHeight w:val="31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66B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19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Финансијска контрола и ревизија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763D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5ACCE38F" w14:textId="77777777" w:rsidTr="007279E7">
        <w:trPr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19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5B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85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BE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16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C7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34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6C9BACFA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F7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BE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47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2E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60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B5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CAA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443FC54D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F2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5A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82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A1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8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21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B2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49E16978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0E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7F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1D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91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D5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C26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E88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9E7" w:rsidRPr="007279E7" w14:paraId="30ADAC98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60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1F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E1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73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28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44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50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1C30EE6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4DF12735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29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35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Финансијска тржишта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4E92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обавезан</w:t>
            </w:r>
          </w:p>
        </w:tc>
      </w:tr>
      <w:tr w:rsidR="007279E7" w:rsidRPr="007279E7" w14:paraId="558D09F5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2D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DF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46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15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37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C1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3D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0571C9FB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78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2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9A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8A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72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BE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EC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20980116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98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F5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60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A3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FA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60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C8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458196A9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98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2C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81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43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F2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D4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16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28B896B5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71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59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AF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89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96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BB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89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C7A7605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93"/>
        <w:gridCol w:w="1081"/>
        <w:gridCol w:w="222"/>
        <w:gridCol w:w="1261"/>
        <w:gridCol w:w="81"/>
        <w:gridCol w:w="1421"/>
      </w:tblGrid>
      <w:tr w:rsidR="007279E7" w:rsidRPr="007279E7" w14:paraId="4A3C6F1E" w14:textId="77777777" w:rsidTr="007279E7">
        <w:trPr>
          <w:trHeight w:val="31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69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6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B8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Финансијско извјештавање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BD4F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1417B6EA" w14:textId="77777777" w:rsidTr="007279E7">
        <w:trPr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FA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C9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F9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8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E3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61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5B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435B4DDB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BC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0A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6D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0E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F7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A9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83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77FB39E8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3A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00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CC0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FA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62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C4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4D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48B17E2E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17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E0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D5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45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FB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2B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31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70ED7C34" w14:textId="77777777" w:rsidTr="007279E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DC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28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E6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82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97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BD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C6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362E8C40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BF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CF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Финансијско право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099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обавезан</w:t>
            </w:r>
          </w:p>
        </w:tc>
      </w:tr>
      <w:tr w:rsidR="007279E7" w:rsidRPr="007279E7" w14:paraId="1C1B1772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04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32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3A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26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36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64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51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248DAF6C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87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B9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A3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B6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95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06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2F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374EDD5D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87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40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4B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FA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2E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20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CD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1919F105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C4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C5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91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C6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F4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AC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5E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1C2B2EB9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59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A3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FB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EA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5B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7D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B7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FAC2A2E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7E8957B7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F5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0A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Корпоративна друштвена одговорност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F1BA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обавезан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34DE6CB6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DF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72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26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96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9B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3D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E6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6AA6B5D4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D0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16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10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70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A4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BF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0B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681626BD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5B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C2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24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2C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C2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35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0E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21A7DE3A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C4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7D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81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B8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C9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C4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46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266245C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5B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F9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71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9F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1F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7C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7B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31AFF7E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50211A87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A5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D4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Међународно рачуноводство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8C1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2ACF997C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94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9A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AD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48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70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93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94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6137DBAF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21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03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3E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1E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2F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CC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47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140138A6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37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0B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32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5E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D5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FC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7C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1A0E3F21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2F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89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5C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EA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F4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01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CD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3A78BAA2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DD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59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56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C8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B6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07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6F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49CA0B5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3FFD7FA5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103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11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Ревизија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D06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обавезан</w:t>
            </w:r>
          </w:p>
        </w:tc>
      </w:tr>
      <w:tr w:rsidR="007279E7" w:rsidRPr="007279E7" w14:paraId="5BC93BEE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55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67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77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E2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4E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72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C2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71615E6B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DF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49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E6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C4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AE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9F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1C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64BADB24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FC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C6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2C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0C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48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7C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29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29CB903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59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92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EF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90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4F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26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3B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5ED74E49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5C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83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E8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C6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F8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69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78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4E31F9D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16FE5445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C6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E3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Специјални биланси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9B5F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7919C81E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CD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37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82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30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AA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AD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15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5B923572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54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54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4D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40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A2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1E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05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586F943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DD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36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06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E6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EF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02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9A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0C462FE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BC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D3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84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59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6F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E4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5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461D36BF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35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2B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50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0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16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1E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A0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9CA0AA3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685C450E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379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DC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Теорија и анализа биланса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5DAA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6F4F4065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57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2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9F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21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37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98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F9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4C16BD9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9E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C7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0A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E3A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A9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99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0F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55871058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BE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FA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BC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EA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86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65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CC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393A0C6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DB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52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5B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F3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8E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4C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57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7591C00C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51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F7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21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6C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DE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F8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0C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3818C42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3DB55CE1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29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25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Теорија одлучивања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835D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4484EA10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24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BF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4A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0B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1B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05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BB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134E894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32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71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E6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B4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58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87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9A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263112A1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5A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8A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7D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96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A5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AF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48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44DDF0C0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E2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6C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BC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0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72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82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BB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6DFE7B53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45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8E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9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32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8A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3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6D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6CE14B7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642E5ECB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A2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DB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Управљачко рачуноводство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DD7A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обавезан</w:t>
            </w:r>
          </w:p>
        </w:tc>
      </w:tr>
      <w:tr w:rsidR="007279E7" w:rsidRPr="007279E7" w14:paraId="24A87BF0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AE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51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9F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A5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64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FA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AA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3FA82D09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82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BC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EE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E5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98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E8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01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1BDB1CA1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01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8F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71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2E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C1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4F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F2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168D6B46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55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38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3A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D5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C4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0F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38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5C6B7685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15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AD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28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A6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81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3F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9E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1AEAC4D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1D49099D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399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55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Управљање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трошковима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6B02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обавезан</w:t>
            </w:r>
          </w:p>
        </w:tc>
      </w:tr>
      <w:tr w:rsidR="007279E7" w:rsidRPr="007279E7" w14:paraId="24EFA44F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65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ED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A6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F2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4E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F8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BA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0986FDCD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5D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D2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CA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A8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50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71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B7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6BC24C30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ED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EE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03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71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AC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D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85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31745BD9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69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62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03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B3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02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E0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09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600EA9BE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B7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4E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61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A1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66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8F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98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92D589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316"/>
        <w:gridCol w:w="1070"/>
        <w:gridCol w:w="1454"/>
        <w:gridCol w:w="1016"/>
        <w:gridCol w:w="1274"/>
        <w:gridCol w:w="1342"/>
        <w:gridCol w:w="1421"/>
      </w:tblGrid>
      <w:tr w:rsidR="007279E7" w:rsidRPr="007279E7" w14:paraId="40065B1E" w14:textId="77777777" w:rsidTr="007279E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7B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F1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Утврђивање и наплата јавних прихода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8B49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изборни</w:t>
            </w:r>
          </w:p>
        </w:tc>
      </w:tr>
      <w:tr w:rsidR="007279E7" w:rsidRPr="007279E7" w14:paraId="32E153C2" w14:textId="77777777" w:rsidTr="007279E7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17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Академска година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A3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испитни 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A7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Пријављено за полагање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94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Изашло на испит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00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6D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Просјечна оцјена положених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CB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(Положило/ Изашло на испит)x100 % </w:t>
            </w:r>
          </w:p>
        </w:tc>
      </w:tr>
      <w:tr w:rsidR="007279E7" w:rsidRPr="007279E7" w14:paraId="347CE979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A7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70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јан/феб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0C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0D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C5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E2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7B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58B812BF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DB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4C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EE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BE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22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CB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4C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9E7" w:rsidRPr="007279E7" w14:paraId="7DCE3067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E4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B0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јун/јул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9F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4E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B4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2E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0A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100.00%</w:t>
            </w:r>
          </w:p>
        </w:tc>
      </w:tr>
      <w:tr w:rsidR="007279E7" w:rsidRPr="007279E7" w14:paraId="1D17997D" w14:textId="77777777" w:rsidTr="00727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8E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F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сеп/окт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ED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46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F7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25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06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6823F5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9165673" w14:textId="4DC41B85" w:rsidR="007279E7" w:rsidRPr="007279E7" w:rsidRDefault="007279E7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FBE76E1" w14:textId="7F1BD24D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41183220"/>
      <w:r w:rsidRPr="007279E7">
        <w:rPr>
          <w:rFonts w:ascii="Times New Roman" w:hAnsi="Times New Roman" w:cs="Times New Roman"/>
          <w:color w:val="auto"/>
          <w:sz w:val="24"/>
          <w:szCs w:val="24"/>
        </w:rPr>
        <w:t>Људски потенцијали</w:t>
      </w:r>
      <w:bookmarkEnd w:id="30"/>
    </w:p>
    <w:p w14:paraId="44C9DF3D" w14:textId="77777777" w:rsidR="00F7250D" w:rsidRPr="007279E7" w:rsidRDefault="00F7250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AAA3A67" w14:textId="3E235131" w:rsidR="001C519B" w:rsidRPr="007279E7" w:rsidRDefault="00F94AE7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Ста</w:t>
      </w:r>
      <w:r w:rsidR="001B50A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ње људских потенцијала на студи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јском 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програму </w:t>
      </w:r>
      <w:r w:rsidR="00031C4A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рачуноводство и ревизија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180  </w:t>
      </w:r>
      <w:r w:rsidR="00A4062C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ECTS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се пе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p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манентно прати и унапређује. ННВ  прати стање </w:t>
      </w:r>
      <w:r w:rsidR="001C519B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на пољу избора у научно-наставна звања и каријерно кретање наставника и сарадника те даје препоруку Сенату Универзитета за расписивање конкурса за избор у на</w:t>
      </w:r>
      <w:r w:rsidR="00404717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ставничка и сарадничка звања. </w:t>
      </w:r>
    </w:p>
    <w:p w14:paraId="7316D259" w14:textId="7E92D1E8" w:rsidR="00F94AE7" w:rsidRPr="007279E7" w:rsidRDefault="00D7660F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F94AE7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Наставници се мотивишу да врше истраживања и објављују стручне и научне радове као и научне монографије и универзитетске уџбенике. Универзитет кроз издавачку дјелатниост  подржава наведене активности, како објавом у научно-стручном часопису „Сварог“ тако и кроз властиту издавачку дјелатност. </w:t>
      </w:r>
    </w:p>
    <w:p w14:paraId="4E1CDAA9" w14:textId="732BBD86" w:rsidR="00F94AE7" w:rsidRPr="00A576C6" w:rsidRDefault="00F94AE7" w:rsidP="00A576C6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Одговрони наставници на студијском програму јавно објављују своје научне картоне те јавност има увид и у политику људских ресурса на студисјком програму а према одлуци ННВ Факултета </w:t>
      </w:r>
      <w:r w:rsidR="00A576C6" w:rsidRPr="00A576C6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(број 484-02/2019, од 09.12.2019.).</w:t>
      </w:r>
    </w:p>
    <w:p w14:paraId="39B21B00" w14:textId="3C817972" w:rsidR="00347C0A" w:rsidRPr="007279E7" w:rsidRDefault="00347C0A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анкета се провјерава и утврђује да ли наставници и сарадници имају коректан и професионалан однос према студентима. План и распоред одржавања предавања и вјежби су истакнути прије почетка одговарајућег семестра на огласној табли и на сајту Универзитета. </w:t>
      </w:r>
    </w:p>
    <w:p w14:paraId="00C29151" w14:textId="77777777" w:rsidR="00347C0A" w:rsidRPr="007279E7" w:rsidRDefault="00347C0A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Наставно особље се труди да интерактивност у настави расте из семестра у семестар и да буде засновано на што више праксе, када и гд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е год је то могуће. </w:t>
      </w:r>
    </w:p>
    <w:p w14:paraId="434D7A63" w14:textId="77777777" w:rsidR="00347C0A" w:rsidRPr="007279E7" w:rsidRDefault="00347C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сараднике, као и праћењем пролазности по предметима и роковима. </w:t>
      </w:r>
    </w:p>
    <w:p w14:paraId="1635DB87" w14:textId="383020AE" w:rsidR="003B7143" w:rsidRDefault="00644824" w:rsidP="00F04C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посматраном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периоду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факултет је континуирано унапређивао поље људских ресурса и, према потреби студијског програма и измјенама у области закон</w:t>
      </w:r>
      <w:r w:rsidR="00DE737A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одавства, у наставу уводио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ново наставно особље. Ангажовани наставници су унапређивали свој научни рад и користили могућност избора у виша звања.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Посебна пажња се посвећује стварању и развијању властитог наставно-научног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кадра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кроз креирање одговарајуће кадровске политике на Универзитету. </w:t>
      </w:r>
    </w:p>
    <w:p w14:paraId="29628868" w14:textId="77777777" w:rsidR="00F04CD7" w:rsidRPr="007279E7" w:rsidRDefault="00F04CD7" w:rsidP="00F04C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5405DA" w14:textId="6DA1D763" w:rsidR="0019567F" w:rsidRPr="007279E7" w:rsidRDefault="0019567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Анализа постојећег стања и потреба учесника </w:t>
      </w:r>
      <w:r w:rsidR="00606180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научно-наставном процесу на </w:t>
      </w:r>
      <w:r w:rsidR="00606180" w:rsidRPr="007279E7">
        <w:rPr>
          <w:rFonts w:ascii="Times New Roman" w:hAnsi="Times New Roman" w:cs="Times New Roman"/>
          <w:sz w:val="24"/>
          <w:szCs w:val="24"/>
          <w:lang w:val="sr-Cyrl-BA"/>
        </w:rPr>
        <w:t>Економском факултету</w:t>
      </w:r>
      <w:r w:rsidR="00606180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приказана је у та</w:t>
      </w:r>
      <w:r w:rsidR="00DE737A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белама за студијски програм </w:t>
      </w:r>
      <w:r w:rsidR="002357E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програму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2357E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180 </w:t>
      </w:r>
      <w:r w:rsidR="00606180" w:rsidRPr="007279E7">
        <w:rPr>
          <w:rFonts w:ascii="Times New Roman" w:hAnsi="Times New Roman" w:cs="Times New Roman"/>
          <w:sz w:val="24"/>
          <w:szCs w:val="24"/>
        </w:rPr>
        <w:t>ECTS</w:t>
      </w:r>
      <w:r w:rsidR="00606180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и то</w:t>
      </w:r>
      <w:r w:rsidR="004F63CF" w:rsidRPr="007279E7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391F8835" w14:textId="77777777" w:rsidR="003B7143" w:rsidRPr="007279E7" w:rsidRDefault="003B7143" w:rsidP="003B7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14:paraId="2B3375A7" w14:textId="5425F01B" w:rsidR="003B7143" w:rsidRPr="007279E7" w:rsidRDefault="003B7143" w:rsidP="003B7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u w:val="single"/>
          <w:lang w:val="sr-Cyrl-BA"/>
        </w:rPr>
        <w:t>Академска година 2022/23</w:t>
      </w:r>
    </w:p>
    <w:p w14:paraId="76469B08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На основу листе предмета за извођење наставе састављена је листа наставника који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су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би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л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и ангажовани за академску 2022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/23. (зимски и љетњи семестар)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за студијски програм: Рачуноводство и ревизија – 180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Pr="007279E7">
        <w:rPr>
          <w:rFonts w:ascii="Times New Roman" w:hAnsi="Times New Roman" w:cs="Times New Roman"/>
          <w:sz w:val="24"/>
          <w:szCs w:val="24"/>
        </w:rPr>
        <w:t>I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циклус):</w:t>
      </w:r>
    </w:p>
    <w:p w14:paraId="0DB672D4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E9AE0" wp14:editId="74A84E13">
            <wp:extent cx="5943600" cy="40444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D84D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Током академеске 2022/23. године (зимски и љетни семестар),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научно-наставном процесу на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Економском факултету,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за студијски програм </w:t>
      </w:r>
      <w:r w:rsidRPr="007279E7">
        <w:rPr>
          <w:rFonts w:ascii="Times New Roman" w:hAnsi="Times New Roman" w:cs="Times New Roman"/>
          <w:sz w:val="24"/>
          <w:szCs w:val="24"/>
        </w:rPr>
        <w:t>I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циклуса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Рачуноводство и ревизија 180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на листи наставника је било ангажовано 17 (седамнаест) наставника од чега је у радном односу било 11 (једанаест) а на основу уговора о додатном раду, било је ангажовано 6 (шест) наставника. Проценат ангажованих наставника у радном односу у односу на укупан број наставника износи 64,71 %.</w:t>
      </w:r>
    </w:p>
    <w:p w14:paraId="16F9DF09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Ангажовани наставни кадар са других факултета је био 3 (три) наставника.</w:t>
      </w:r>
    </w:p>
    <w:p w14:paraId="5EFD3FDC" w14:textId="77777777" w:rsidR="00F04CD7" w:rsidRDefault="00F04CD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EE26AD" w14:textId="4417C56A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Структура ангажованих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професора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наставном процесу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6D4E7C7B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C832C6" wp14:editId="5650CA24">
            <wp:extent cx="5943600" cy="316921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7F61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Структура ангажованих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асистената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у наставном процесу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68C5A073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67BCCA" wp14:editId="4AC278EF">
            <wp:extent cx="5009515" cy="413385"/>
            <wp:effectExtent l="0" t="0" r="635" b="571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3DD1A" w14:textId="3487B849" w:rsidR="007279E7" w:rsidRPr="007279E7" w:rsidRDefault="007279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1" w:name="_Toc95829429"/>
    </w:p>
    <w:p w14:paraId="00A9517E" w14:textId="2325B52A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ru-RU"/>
        </w:rPr>
        <w:t>Анализа старосне структуре наставног кадра</w:t>
      </w:r>
      <w:bookmarkEnd w:id="31"/>
    </w:p>
    <w:p w14:paraId="7AA80FF5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На основу захтијева Министарсва просвете и културе, организационе јединице Независног универзитета доставља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ју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податке о ангажованом наставном особљу за сваки семестар.</w:t>
      </w:r>
    </w:p>
    <w:p w14:paraId="1C792B42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Старосна структура наставног особља у академској 2022/23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години.</w:t>
      </w:r>
    </w:p>
    <w:p w14:paraId="6F7D4EBA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A643DD" wp14:editId="0286435D">
            <wp:extent cx="3045460" cy="1558290"/>
            <wp:effectExtent l="0" t="0" r="2540" b="3810"/>
            <wp:docPr id="83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27E9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2" w:name="_Toc95829430"/>
    </w:p>
    <w:p w14:paraId="4601F6AD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Збирни научно-истраживачки годишњи резултати наставника и сарадника на Економском факултету </w:t>
      </w:r>
      <w:bookmarkStart w:id="33" w:name="_Toc95829431"/>
      <w:bookmarkEnd w:id="32"/>
      <w:r w:rsidRPr="007279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Рачуноводство и ревизија 180 </w:t>
      </w:r>
      <w:r w:rsidRPr="007279E7">
        <w:rPr>
          <w:rFonts w:ascii="Times New Roman" w:hAnsi="Times New Roman" w:cs="Times New Roman"/>
          <w:b/>
          <w:sz w:val="24"/>
          <w:szCs w:val="24"/>
        </w:rPr>
        <w:t>ECTS</w:t>
      </w:r>
    </w:p>
    <w:p w14:paraId="54612D4D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Одлуком ННВ од 9.12.2019. године, научни картони су јавно доступни на страници факултета чиме је каријерно кретање наставног и сарадничког особља у потпуности транспарентно што представља важан стандард болоњског процеса.</w:t>
      </w:r>
    </w:p>
    <w:p w14:paraId="2F13D6BD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21DC7D" w14:textId="77777777" w:rsidR="007279E7" w:rsidRPr="007279E7" w:rsidRDefault="007279E7" w:rsidP="007279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59147A5B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Оцјене рада одговорних наставника на студијском програму, кроз студентско вредновање</w:t>
      </w:r>
      <w:bookmarkEnd w:id="33"/>
      <w:r w:rsidRPr="007279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педагошког рада наставника и сарадника</w:t>
      </w:r>
    </w:p>
    <w:p w14:paraId="01A6D1D3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CC3A2E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Оцјене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рада одговорних наставника на студијском програму, кроз студентско вредновање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педагошког рада наставника и сарадника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је вршено путем анкетирања студената.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анкети су учествовали студенти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1 циклуса програма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Рачуноводство и ревизија 180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Анкета је садржала 9 тврдњи које су студенти оцјењивали оцјеном од 5-10, с тим да је 5 најлошија оцјена, а 10 најбоља. </w:t>
      </w:r>
    </w:p>
    <w:p w14:paraId="70E0EF32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наставку слиједе оцјене наставног особља од стране студената у академској 2022/23. Анкетиран је укупно 1 (један) студент са првог циклуса студија Рачуноводство и ревизија 180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45398B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Анкета садржи 9 тврдњи које студенти оцјењују оцјеном од 5-10, с тим да је 5 најлошија оцјена, а 10 најбоља. </w:t>
      </w:r>
    </w:p>
    <w:p w14:paraId="7ABD3E04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Питања у анкети су следећа</w:t>
      </w:r>
    </w:p>
    <w:p w14:paraId="49012C52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Редовност одржавања наставе (предавање/вјежбе/консултације)</w:t>
      </w:r>
    </w:p>
    <w:p w14:paraId="4D0E1A3C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Корелација градива на предавањима и вјежбама</w:t>
      </w:r>
    </w:p>
    <w:p w14:paraId="31113E79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Усаглашеност темпа предавања и обима градива</w:t>
      </w:r>
    </w:p>
    <w:p w14:paraId="7D967727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Јасноћа и стил изражавања</w:t>
      </w:r>
    </w:p>
    <w:p w14:paraId="10661326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Подстицај студената на активност, критичко размишљање и креативност</w:t>
      </w:r>
    </w:p>
    <w:p w14:paraId="36F95593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Професионалност, етичност и коректност у комуникацији са студентима</w:t>
      </w:r>
    </w:p>
    <w:p w14:paraId="1654A7CB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Објективност оцјењивања</w:t>
      </w:r>
    </w:p>
    <w:p w14:paraId="48B5E3D9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Обим и квалитет литературе коју препоручује наставник/сарадник</w:t>
      </w:r>
    </w:p>
    <w:p w14:paraId="04F2D227" w14:textId="77777777" w:rsidR="007279E7" w:rsidRPr="007279E7" w:rsidRDefault="007279E7" w:rsidP="00F73869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Укупна/општа оцјена</w:t>
      </w:r>
    </w:p>
    <w:p w14:paraId="7274DF3B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BA"/>
        </w:rPr>
      </w:pPr>
    </w:p>
    <w:p w14:paraId="08A4DC10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79B0E95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>Просјечна оцјена за сво наставно особље:</w:t>
      </w:r>
    </w:p>
    <w:tbl>
      <w:tblPr>
        <w:tblW w:w="7845" w:type="dxa"/>
        <w:tblLook w:val="04A0" w:firstRow="1" w:lastRow="0" w:firstColumn="1" w:lastColumn="0" w:noHBand="0" w:noVBand="1"/>
      </w:tblPr>
      <w:tblGrid>
        <w:gridCol w:w="6885"/>
        <w:gridCol w:w="986"/>
      </w:tblGrid>
      <w:tr w:rsidR="007279E7" w:rsidRPr="007279E7" w14:paraId="754AFF30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2984" w14:textId="77777777" w:rsidR="007279E7" w:rsidRPr="008D3809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8D3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Укупно за сво наставно особље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A06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63C49F7E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B7D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69AF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70B9BC20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79ED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5271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F6799D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13D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D98B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0235CBF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8BED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2D85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2EBED21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9F9FB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7EFE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80E3FC9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CDE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BD24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17FB226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1EDF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3F94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CAD4F1C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37F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9E89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301350F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0C5FB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7FBB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14:paraId="405D7184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BA"/>
        </w:rPr>
      </w:pPr>
    </w:p>
    <w:p w14:paraId="5BD8B276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>Просјечна оцјена за појединачне професоре:</w:t>
      </w:r>
    </w:p>
    <w:tbl>
      <w:tblPr>
        <w:tblW w:w="7845" w:type="dxa"/>
        <w:tblLook w:val="04A0" w:firstRow="1" w:lastRow="0" w:firstColumn="1" w:lastColumn="0" w:noHBand="0" w:noVBand="1"/>
      </w:tblPr>
      <w:tblGrid>
        <w:gridCol w:w="6885"/>
        <w:gridCol w:w="986"/>
      </w:tblGrid>
      <w:tr w:rsidR="007279E7" w:rsidRPr="007279E7" w14:paraId="20E39781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4D1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Проф.др Драган Вукасовић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EDE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5470D1A3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7E882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FA95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9BF5917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424B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6F63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724B1630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9B66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483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32C6AC5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1AF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279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351C3DA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EEE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18D2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21B40D73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472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9B0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249DA72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4A73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F591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1C84D62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EA1B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EB7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DCE4D4A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D8CE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468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2EA34A85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C3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B9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E7" w:rsidRPr="007279E7" w14:paraId="3BEFD130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AAE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Доц.др Дарко Мартинов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F50E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40F3792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8F06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BBB0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1513BA7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87A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C85A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C6A935E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4E89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3A19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555A2B8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4680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1960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140F6A38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69AD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2DCD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513F653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A3B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74DE4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2791411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A77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6DD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8C72ED0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C22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BC37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76F37294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B8EF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89CC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E0BFBCA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945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D0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E7" w:rsidRPr="007279E7" w14:paraId="246661BD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7337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Проф.др Слободан Пешевић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808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71797A86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523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38E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2531CB8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5A4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63A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68D658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AA2B0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FF1D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4AD6771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B5A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EA2E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71173EB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31DD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3E6FF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290B0D0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C973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1AC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4A64A94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BECB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4D11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37A189E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E6D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F55C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184F61F7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4C2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84296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14:paraId="386E02BE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7845" w:type="dxa"/>
        <w:tblLook w:val="04A0" w:firstRow="1" w:lastRow="0" w:firstColumn="1" w:lastColumn="0" w:noHBand="0" w:noVBand="1"/>
      </w:tblPr>
      <w:tblGrid>
        <w:gridCol w:w="6885"/>
        <w:gridCol w:w="986"/>
      </w:tblGrid>
      <w:tr w:rsidR="007279E7" w:rsidRPr="007279E7" w14:paraId="1AA0300D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0DD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Доц.др Срђан Шупут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AA4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6989DF96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166D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913D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1F7ABEF1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3733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7797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90573E5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BE3B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C35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BAF55A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BD902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D9C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B9D9BA9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920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D21F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C88EAFB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777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7E3B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FBDB86E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7BD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BE7F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7F3D5613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306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7E9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412B5DCB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1F92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409DE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14:paraId="37BA0DE9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7845" w:type="dxa"/>
        <w:tblLook w:val="04A0" w:firstRow="1" w:lastRow="0" w:firstColumn="1" w:lastColumn="0" w:noHBand="0" w:noVBand="1"/>
      </w:tblPr>
      <w:tblGrid>
        <w:gridCol w:w="6885"/>
        <w:gridCol w:w="986"/>
      </w:tblGrid>
      <w:tr w:rsidR="007279E7" w:rsidRPr="007279E7" w14:paraId="3827E2B5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8353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Проф.др Жељко Војиновић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F05A1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110B9395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0FED6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D43B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1424A3D8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754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4D678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8D8712C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5EA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D815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329AFFEA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9322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B3347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47022280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8BA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3334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2029D71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252D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0870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7F4D1032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E41C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A19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5169FE12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3D6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83F1C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A5D376A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DDC4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C9140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14:paraId="1523BE65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7845" w:type="dxa"/>
        <w:tblLook w:val="04A0" w:firstRow="1" w:lastRow="0" w:firstColumn="1" w:lastColumn="0" w:noHBand="0" w:noVBand="1"/>
      </w:tblPr>
      <w:tblGrid>
        <w:gridCol w:w="6885"/>
        <w:gridCol w:w="986"/>
      </w:tblGrid>
      <w:tr w:rsidR="007279E7" w:rsidRPr="007279E7" w14:paraId="277DCB66" w14:textId="77777777" w:rsidTr="007279E7">
        <w:trPr>
          <w:trHeight w:val="315"/>
        </w:trPr>
        <w:tc>
          <w:tcPr>
            <w:tcW w:w="6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D6DA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Проф.др Саша Чекрлија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E1879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Оцјена</w:t>
            </w:r>
          </w:p>
        </w:tc>
      </w:tr>
      <w:tr w:rsidR="007279E7" w:rsidRPr="007279E7" w14:paraId="2023CE75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E20C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Редовност одржавања наставе (предавање/вјежбе/консултације)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9F9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2FA31B7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42D8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Корелација градива на предавањима и вјежбама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6C4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7FDF32F2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F81F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Усаглашеност темпа предавања и обима градива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916A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5C75F22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6AE5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Јасноћа и стил изражавања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BAC22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48A0B1CD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5977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Подстицај студената на активност, критичко размишљање и креативност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A1A5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6DFEBBFB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E288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Професионалност, етичност и коректност у комуникацији са студентима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C6C2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C368EEB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E90E1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Објективност оцјењивања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FBF3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0B0BFA33" w14:textId="77777777" w:rsidTr="007279E7">
        <w:trPr>
          <w:trHeight w:val="300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87B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Обим и квалитет литературе коју препоручује наставник/сарадник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54A9B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9E7" w:rsidRPr="007279E7" w14:paraId="4121A54B" w14:textId="77777777" w:rsidTr="007279E7">
        <w:trPr>
          <w:trHeight w:val="315"/>
        </w:trPr>
        <w:tc>
          <w:tcPr>
            <w:tcW w:w="6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1A7E" w14:textId="77777777" w:rsidR="007279E7" w:rsidRPr="007279E7" w:rsidRDefault="007279E7" w:rsidP="0072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Укупна/општа оцјена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734CD" w14:textId="77777777" w:rsidR="007279E7" w:rsidRPr="007279E7" w:rsidRDefault="007279E7" w:rsidP="007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14:paraId="42CEFBCC" w14:textId="77777777" w:rsidR="007279E7" w:rsidRPr="007279E7" w:rsidRDefault="007279E7" w:rsidP="007279E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8E3915F" w14:textId="085C4215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41183221"/>
      <w:r w:rsidRPr="007279E7">
        <w:rPr>
          <w:rFonts w:ascii="Times New Roman" w:hAnsi="Times New Roman" w:cs="Times New Roman"/>
          <w:color w:val="auto"/>
          <w:sz w:val="24"/>
          <w:szCs w:val="24"/>
        </w:rPr>
        <w:t>Ресурси и финансирање</w:t>
      </w:r>
      <w:bookmarkEnd w:id="34"/>
    </w:p>
    <w:p w14:paraId="565FDB59" w14:textId="77777777" w:rsidR="00F7250D" w:rsidRPr="007279E7" w:rsidRDefault="00F7250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671E444" w14:textId="77777777" w:rsidR="00E518EE" w:rsidRPr="007279E7" w:rsidRDefault="00995F69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Факултет испуњава прописане нормативе који се односе на простор за рад студената, наставног и административног особља</w:t>
      </w:r>
      <w:r w:rsidR="00E518EE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18EE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Независни универзитет Бања Лука обезбјеђује дугорочна финансијска средства неопходна за финансирање свих кључних активности Факултета. Средства се обезбјеђују из школарина, улагања оснивача и других прихода, у </w:t>
      </w:r>
      <w:r w:rsidR="00E518EE" w:rsidRPr="007279E7">
        <w:rPr>
          <w:rFonts w:ascii="Times New Roman" w:hAnsi="Times New Roman" w:cs="Times New Roman"/>
          <w:sz w:val="24"/>
          <w:szCs w:val="24"/>
          <w:lang w:val="sr-Cyrl-RS"/>
        </w:rPr>
        <w:t>складу са Законом.</w:t>
      </w:r>
    </w:p>
    <w:p w14:paraId="1336E079" w14:textId="55B5886F" w:rsidR="004D4C17" w:rsidRPr="007279E7" w:rsidRDefault="004D4C17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Стандарди система осигурања квалитета у вези с ресурсима и финансирањем имају за циљ обезбјеђивање адекватних ресурса и финансијске подршке за квалитетно образовање на факултету. Студијски програм подржава сљедеће аспекте:</w:t>
      </w:r>
    </w:p>
    <w:p w14:paraId="3B4E4039" w14:textId="7244E414" w:rsidR="004D4C17" w:rsidRPr="007279E7" w:rsidRDefault="004D4C17" w:rsidP="00F73869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Физички ресурси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Факултет обезбјеђује адекватан простор за наставу, лабораторије, библиотеку и друге потребне објекте. Такође, има неопходну опрему и технологију за подршку настави и истраживању.</w:t>
      </w:r>
    </w:p>
    <w:p w14:paraId="4402A260" w14:textId="517F8264" w:rsidR="004D4C17" w:rsidRPr="007279E7" w:rsidRDefault="004D4C17" w:rsidP="00F73869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Информациони ресурси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Факултет има приступ релевантним информационим изворима, базама података и електронској литератури која је неопходна за студенте и запослене. Такође, обезбјеђује подршку за коришћење информационих технологија у образовном процесу.</w:t>
      </w:r>
    </w:p>
    <w:p w14:paraId="341C0448" w14:textId="37A39293" w:rsidR="004D4C17" w:rsidRPr="007279E7" w:rsidRDefault="004D4C17" w:rsidP="00F73869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Финансијска подршка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Факултет има стабилан и одржив модел финансирања који ће обезбиједити средства за своје функционисање и развој. </w:t>
      </w:r>
    </w:p>
    <w:p w14:paraId="31DD1BF8" w14:textId="67E5D231" w:rsidR="004D4C17" w:rsidRPr="007279E7" w:rsidRDefault="004D4C17" w:rsidP="00F73869">
      <w:pPr>
        <w:pStyle w:val="ListParagraph"/>
        <w:numPr>
          <w:ilvl w:val="0"/>
          <w:numId w:val="35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Планирање и управљање ресурсима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Факултет има јасно дефинисан процес планирања и управљања ресурсима, укључујући прогнозирање потреба, алокацију ресурса и праћење њихове употребе. Ово обезбјеђује ефикасно и ефективно коришћење ресурса.</w:t>
      </w:r>
    </w:p>
    <w:p w14:paraId="1456ABCA" w14:textId="77777777" w:rsidR="00E518EE" w:rsidRPr="007279E7" w:rsidRDefault="00E518EE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Финансијски извори јесу довољни да обезјбеде несметан и квалитетан рад Универзитета и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извођење наставе у пуном обиму и по предвиђеном плану, који временски одговара трајању једног студијског програма. Универзитет стиче средства из школарина, иновација знања и стручног образовања и усавршавања, издавачке дјелатности, оснивачких права, пружања услуга трећим лицима, из пројеката и уговора у вези са реализацијом наставе, истраживања и научног рада, као и из осталих извора (поклон, донација).   </w:t>
      </w:r>
    </w:p>
    <w:p w14:paraId="6167AFC7" w14:textId="77777777" w:rsidR="002357E6" w:rsidRPr="007279E7" w:rsidRDefault="00E518EE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Трошкови Факултета су: </w:t>
      </w:r>
    </w:p>
    <w:p w14:paraId="4F1FA431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обезбјеђивање услова за извођење наставе и вјежби, </w:t>
      </w:r>
    </w:p>
    <w:p w14:paraId="4B089B17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набавке потребне опреме за извођење наставе и вјежби, </w:t>
      </w:r>
    </w:p>
    <w:p w14:paraId="46F10262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опремање лабораторија, </w:t>
      </w:r>
    </w:p>
    <w:p w14:paraId="2C344030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обављање научног рада који је у функцији подизања квалитета наставе, </w:t>
      </w:r>
    </w:p>
    <w:p w14:paraId="700BD9B5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научно и стручно усавршавање наставника, сарадника и других запослених, </w:t>
      </w:r>
    </w:p>
    <w:p w14:paraId="0C79B169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подстицање развоја наставно-научног подмлатка, </w:t>
      </w:r>
    </w:p>
    <w:p w14:paraId="5F628EFA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студијске екскурзије, теренски и практични рад студената, </w:t>
      </w:r>
    </w:p>
    <w:p w14:paraId="0D371690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библиотечки фонд, </w:t>
      </w:r>
    </w:p>
    <w:p w14:paraId="02034F6E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модернизовање рачунарске учионице, </w:t>
      </w:r>
    </w:p>
    <w:p w14:paraId="41418CFE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међународна сарадња, </w:t>
      </w:r>
    </w:p>
    <w:p w14:paraId="1D0B7BA5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издавачка дјелатност, </w:t>
      </w:r>
    </w:p>
    <w:p w14:paraId="1522EA9D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трошкови рада и развоја информационог система као подршке наставном процесу, </w:t>
      </w:r>
    </w:p>
    <w:p w14:paraId="4BD50D7D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рад студентског парламента и удружења студената, </w:t>
      </w:r>
    </w:p>
    <w:p w14:paraId="2C6E4BDB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трошкови текућег пословања, </w:t>
      </w:r>
    </w:p>
    <w:p w14:paraId="05806E94" w14:textId="77777777" w:rsidR="002357E6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зараде запослених у складу са Законом, </w:t>
      </w:r>
    </w:p>
    <w:p w14:paraId="62725546" w14:textId="1E60E00F" w:rsidR="00E518EE" w:rsidRPr="007279E7" w:rsidRDefault="00E518EE" w:rsidP="00F738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инвестиције и други трошкови за намјене у складу са Законом. </w:t>
      </w:r>
    </w:p>
    <w:p w14:paraId="5820439C" w14:textId="77777777" w:rsidR="002357E6" w:rsidRPr="007279E7" w:rsidRDefault="002357E6" w:rsidP="00641B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589AE05" w14:textId="2B1ED00D" w:rsidR="00995F69" w:rsidRPr="007279E7" w:rsidRDefault="00995F69" w:rsidP="00641B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Простор и опрема </w:t>
      </w:r>
    </w:p>
    <w:p w14:paraId="5B33FD8C" w14:textId="0790FEC5" w:rsidR="00970797" w:rsidRPr="007279E7" w:rsidRDefault="0097079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>Са 2314 m</w:t>
      </w:r>
      <w:r w:rsidRPr="007279E7">
        <w:rPr>
          <w:rFonts w:ascii="Times New Roman" w:hAnsi="Times New Roman" w:cs="Times New Roman"/>
          <w:bCs/>
          <w:sz w:val="24"/>
          <w:szCs w:val="24"/>
          <w:vertAlign w:val="superscript"/>
          <w:lang w:val="sr-Cyrl-RS"/>
        </w:rPr>
        <w:t>2</w:t>
      </w: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Независни универзитет Бања Лука у потпуности обезбјеђује примјерене просторне капацитете за квалитетно обављање дјелатности свих организационих јединица. </w:t>
      </w:r>
    </w:p>
    <w:p w14:paraId="7492BBF9" w14:textId="16812E60" w:rsidR="00970797" w:rsidRPr="007279E7" w:rsidRDefault="0097079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Универзитет обезбјеђује учионице, лабораторију, библиотеку, читаоницу, компјутерску лабораторију и друге просторије за извођење наставе у складу са пољем природних и друштвених наука. Универзитет константно прати и усклађује ресуре са потребама наставног процеса и броја студената. </w:t>
      </w:r>
    </w:p>
    <w:p w14:paraId="3C4230AD" w14:textId="74DCD8A3" w:rsidR="00970797" w:rsidRPr="007279E7" w:rsidRDefault="0097079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програма. Факултет поред информатичког кабинета, посједује за потребе студената и запослених одговарајући број рачунара са интернет прикључцима, камере за снимање, штампаче, скенере, фотокопир апарате и сл. </w:t>
      </w:r>
    </w:p>
    <w:p w14:paraId="092E58F1" w14:textId="52522201" w:rsidR="00970797" w:rsidRPr="007279E7" w:rsidRDefault="0097079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>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програмима. У предстојећем планском периоду Универзитет ће радити на побољшању просторних и других техничких услова, у складу са годишњим плановима рада и развоја, све до постизања прописаног стандарда у цијелости.</w:t>
      </w:r>
    </w:p>
    <w:p w14:paraId="1DC7D4F1" w14:textId="77777777" w:rsidR="00F04CD7" w:rsidRDefault="00F04CD7" w:rsidP="00641B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D51D386" w14:textId="303FE1D7" w:rsidR="00F26401" w:rsidRPr="007279E7" w:rsidRDefault="00F26401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Табела</w:t>
      </w:r>
      <w:r w:rsidR="002357E6" w:rsidRPr="007279E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1</w:t>
      </w:r>
      <w:r w:rsidR="002357E6" w:rsidRPr="007279E7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  <w:r w:rsidRPr="007279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Преглед простора и опреме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4212"/>
      </w:tblGrid>
      <w:tr w:rsidR="009F67A5" w:rsidRPr="007279E7" w14:paraId="42CD694B" w14:textId="77777777" w:rsidTr="009F67A5">
        <w:trPr>
          <w:trHeight w:val="24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B0FA8DA" w14:textId="77777777" w:rsidR="009F67A5" w:rsidRPr="007279E7" w:rsidRDefault="009F67A5" w:rsidP="009F67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ПРОСТОР И ОПРЕМА</w:t>
            </w:r>
          </w:p>
        </w:tc>
      </w:tr>
      <w:tr w:rsidR="009F67A5" w:rsidRPr="007279E7" w14:paraId="3F99940F" w14:textId="77777777" w:rsidTr="005D614B">
        <w:tc>
          <w:tcPr>
            <w:tcW w:w="5138" w:type="dxa"/>
          </w:tcPr>
          <w:p w14:paraId="5D4D41A1" w14:textId="281B469C" w:rsidR="009F67A5" w:rsidRPr="007279E7" w:rsidRDefault="009F67A5" w:rsidP="009F67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Укупна површина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корисног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пословног простора [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212" w:type="dxa"/>
          </w:tcPr>
          <w:p w14:paraId="77DBA017" w14:textId="1EF750EB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329 + 985 (нов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 нелиценциране површине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67A5" w:rsidRPr="007279E7" w14:paraId="3EC67E58" w14:textId="77777777" w:rsidTr="005D614B">
        <w:tc>
          <w:tcPr>
            <w:tcW w:w="5138" w:type="dxa"/>
          </w:tcPr>
          <w:p w14:paraId="01D1C71D" w14:textId="656214A1" w:rsidR="009F67A5" w:rsidRPr="007279E7" w:rsidRDefault="009F67A5" w:rsidP="009F67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Укупна површина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учионичког 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простора [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212" w:type="dxa"/>
          </w:tcPr>
          <w:p w14:paraId="67D057D5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431,40</w:t>
            </w:r>
          </w:p>
        </w:tc>
      </w:tr>
      <w:tr w:rsidR="009F67A5" w:rsidRPr="007279E7" w14:paraId="65A7CAA3" w14:textId="77777777" w:rsidTr="005D614B">
        <w:tc>
          <w:tcPr>
            <w:tcW w:w="5138" w:type="dxa"/>
          </w:tcPr>
          <w:p w14:paraId="5FE9B907" w14:textId="2501FFEF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Укупна површина простора за практичан рад [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212" w:type="dxa"/>
          </w:tcPr>
          <w:p w14:paraId="246C3130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53,75 + 100,75</w:t>
            </w:r>
          </w:p>
        </w:tc>
      </w:tr>
      <w:tr w:rsidR="009F67A5" w:rsidRPr="007279E7" w14:paraId="31AFE829" w14:textId="77777777" w:rsidTr="005D614B">
        <w:tc>
          <w:tcPr>
            <w:tcW w:w="5138" w:type="dxa"/>
          </w:tcPr>
          <w:p w14:paraId="7115C500" w14:textId="39709F12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Површина б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иб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лиотечког простора [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212" w:type="dxa"/>
          </w:tcPr>
          <w:p w14:paraId="6B337F84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9F67A5" w:rsidRPr="007279E7" w14:paraId="5AA5F529" w14:textId="77777777" w:rsidTr="005D614B">
        <w:tc>
          <w:tcPr>
            <w:tcW w:w="5138" w:type="dxa"/>
          </w:tcPr>
          <w:p w14:paraId="446A3473" w14:textId="0418F8F2" w:rsidR="009F67A5" w:rsidRPr="007279E7" w:rsidRDefault="009F67A5" w:rsidP="009F67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читаоничког простора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212" w:type="dxa"/>
          </w:tcPr>
          <w:p w14:paraId="396B0B86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</w:tr>
      <w:tr w:rsidR="009F67A5" w:rsidRPr="007279E7" w14:paraId="0E01BBE2" w14:textId="77777777" w:rsidTr="005D614B">
        <w:tc>
          <w:tcPr>
            <w:tcW w:w="5138" w:type="dxa"/>
          </w:tcPr>
          <w:p w14:paraId="2BBB0BCC" w14:textId="6170649C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Површина 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простора за студентски стандард [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212" w:type="dxa"/>
          </w:tcPr>
          <w:p w14:paraId="41C06C26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</w:tr>
      <w:tr w:rsidR="009F67A5" w:rsidRPr="007279E7" w14:paraId="4360D9FD" w14:textId="77777777" w:rsidTr="005D614B">
        <w:tc>
          <w:tcPr>
            <w:tcW w:w="5138" w:type="dxa"/>
          </w:tcPr>
          <w:p w14:paraId="73918AEA" w14:textId="77777777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амфитеатара </w:t>
            </w:r>
          </w:p>
        </w:tc>
        <w:tc>
          <w:tcPr>
            <w:tcW w:w="4212" w:type="dxa"/>
          </w:tcPr>
          <w:p w14:paraId="318B2D97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7A5" w:rsidRPr="007279E7" w14:paraId="3534BF2F" w14:textId="77777777" w:rsidTr="005D614B">
        <w:tc>
          <w:tcPr>
            <w:tcW w:w="5138" w:type="dxa"/>
          </w:tcPr>
          <w:p w14:paraId="75979A78" w14:textId="7D012EA5" w:rsidR="009F67A5" w:rsidRPr="007279E7" w:rsidRDefault="009F67A5" w:rsidP="009F67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</w:tcPr>
          <w:p w14:paraId="540DEC72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7A5" w:rsidRPr="007279E7" w14:paraId="25DDB1CF" w14:textId="77777777" w:rsidTr="005D614B">
        <w:tc>
          <w:tcPr>
            <w:tcW w:w="5138" w:type="dxa"/>
          </w:tcPr>
          <w:p w14:paraId="43974BE2" w14:textId="112C206A" w:rsidR="009F67A5" w:rsidRPr="007279E7" w:rsidRDefault="009F67A5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библиотека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установи</w:t>
            </w:r>
          </w:p>
        </w:tc>
        <w:tc>
          <w:tcPr>
            <w:tcW w:w="4212" w:type="dxa"/>
          </w:tcPr>
          <w:p w14:paraId="1E4706D4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A5" w:rsidRPr="007279E7" w14:paraId="51713AAE" w14:textId="77777777" w:rsidTr="005D614B">
        <w:tc>
          <w:tcPr>
            <w:tcW w:w="5138" w:type="dxa"/>
          </w:tcPr>
          <w:p w14:paraId="44FB0DEB" w14:textId="2CAAE190" w:rsidR="009F67A5" w:rsidRPr="007279E7" w:rsidRDefault="009F67A5" w:rsidP="009F67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читаоница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</w:tcPr>
          <w:p w14:paraId="6E51C14B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A5" w:rsidRPr="007279E7" w14:paraId="64B86BE9" w14:textId="77777777" w:rsidTr="005D614B">
        <w:tc>
          <w:tcPr>
            <w:tcW w:w="5138" w:type="dxa"/>
          </w:tcPr>
          <w:p w14:paraId="7FE4F65B" w14:textId="04D424AF" w:rsidR="009F67A5" w:rsidRPr="007279E7" w:rsidRDefault="009F67A5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просторија за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практични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рад </w:t>
            </w:r>
          </w:p>
        </w:tc>
        <w:tc>
          <w:tcPr>
            <w:tcW w:w="4212" w:type="dxa"/>
          </w:tcPr>
          <w:p w14:paraId="0DCBF666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7A5" w:rsidRPr="007279E7" w14:paraId="4FC1EF4C" w14:textId="77777777" w:rsidTr="005D614B">
        <w:tc>
          <w:tcPr>
            <w:tcW w:w="5138" w:type="dxa"/>
          </w:tcPr>
          <w:p w14:paraId="1210C714" w14:textId="03405003" w:rsidR="009F67A5" w:rsidRPr="007279E7" w:rsidRDefault="009F67A5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рачунарских учионица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</w:tcPr>
          <w:p w14:paraId="28B2004A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A5" w:rsidRPr="007279E7" w14:paraId="3ED8835C" w14:textId="77777777" w:rsidTr="005D614B">
        <w:tc>
          <w:tcPr>
            <w:tcW w:w="5138" w:type="dxa"/>
          </w:tcPr>
          <w:p w14:paraId="5E061D56" w14:textId="77777777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Број рачунара у рачунарским учионицама</w:t>
            </w:r>
          </w:p>
        </w:tc>
        <w:tc>
          <w:tcPr>
            <w:tcW w:w="4212" w:type="dxa"/>
          </w:tcPr>
          <w:p w14:paraId="2BA04735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67A5" w:rsidRPr="007279E7" w14:paraId="62EC9760" w14:textId="77777777" w:rsidTr="005D614B">
        <w:tc>
          <w:tcPr>
            <w:tcW w:w="5138" w:type="dxa"/>
          </w:tcPr>
          <w:p w14:paraId="133448BA" w14:textId="1BD701F2" w:rsidR="009F67A5" w:rsidRPr="007279E7" w:rsidRDefault="009F67A5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Број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 у читаоницама</w:t>
            </w:r>
          </w:p>
        </w:tc>
        <w:tc>
          <w:tcPr>
            <w:tcW w:w="4212" w:type="dxa"/>
          </w:tcPr>
          <w:p w14:paraId="57D6B50D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7A5" w:rsidRPr="007279E7" w14:paraId="312189FA" w14:textId="77777777" w:rsidTr="005D614B">
        <w:tc>
          <w:tcPr>
            <w:tcW w:w="5138" w:type="dxa"/>
          </w:tcPr>
          <w:p w14:paraId="29782E0B" w14:textId="1A9769E9" w:rsidR="009F67A5" w:rsidRPr="007279E7" w:rsidRDefault="009F67A5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Укупан број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 у установи</w:t>
            </w:r>
          </w:p>
        </w:tc>
        <w:tc>
          <w:tcPr>
            <w:tcW w:w="4212" w:type="dxa"/>
          </w:tcPr>
          <w:p w14:paraId="028B329E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F67A5" w:rsidRPr="007279E7" w14:paraId="52D2A7D7" w14:textId="77777777" w:rsidTr="005D614B">
        <w:tc>
          <w:tcPr>
            <w:tcW w:w="5138" w:type="dxa"/>
          </w:tcPr>
          <w:p w14:paraId="6EB70699" w14:textId="77777777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Укупан број библиотечких јединица</w:t>
            </w:r>
          </w:p>
        </w:tc>
        <w:tc>
          <w:tcPr>
            <w:tcW w:w="4212" w:type="dxa"/>
          </w:tcPr>
          <w:p w14:paraId="7E85170F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16 943</w:t>
            </w:r>
          </w:p>
        </w:tc>
      </w:tr>
      <w:tr w:rsidR="009F67A5" w:rsidRPr="007279E7" w14:paraId="7B7F4696" w14:textId="77777777" w:rsidTr="005D614B">
        <w:tc>
          <w:tcPr>
            <w:tcW w:w="5138" w:type="dxa"/>
          </w:tcPr>
          <w:p w14:paraId="767DB3A6" w14:textId="77777777" w:rsidR="009F67A5" w:rsidRPr="007279E7" w:rsidRDefault="009F67A5" w:rsidP="005D614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Број референтних научних часописа на које институција има претплату</w:t>
            </w:r>
          </w:p>
        </w:tc>
        <w:tc>
          <w:tcPr>
            <w:tcW w:w="4212" w:type="dxa"/>
          </w:tcPr>
          <w:p w14:paraId="4F61F19F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7A5" w:rsidRPr="007279E7" w14:paraId="3A1790CB" w14:textId="77777777" w:rsidTr="005D614B">
        <w:tc>
          <w:tcPr>
            <w:tcW w:w="5138" w:type="dxa"/>
          </w:tcPr>
          <w:p w14:paraId="5CC3E2EC" w14:textId="77777777" w:rsidR="009F67A5" w:rsidRPr="007279E7" w:rsidRDefault="009F67A5" w:rsidP="005D614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Директан приступ претраживачким базама са научним часописима</w:t>
            </w:r>
          </w:p>
        </w:tc>
        <w:tc>
          <w:tcPr>
            <w:tcW w:w="4212" w:type="dxa"/>
          </w:tcPr>
          <w:p w14:paraId="61E57071" w14:textId="7D829061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67A5" w:rsidRPr="007279E7" w14:paraId="3F18A8BC" w14:textId="77777777" w:rsidTr="005D614B">
        <w:tc>
          <w:tcPr>
            <w:tcW w:w="5138" w:type="dxa"/>
          </w:tcPr>
          <w:p w14:paraId="351A8B3F" w14:textId="00A335E6" w:rsidR="009F67A5" w:rsidRPr="007279E7" w:rsidRDefault="00F26401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Стална</w:t>
            </w:r>
            <w:r w:rsidR="009F67A5" w:rsidRPr="00727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веза</w:t>
            </w:r>
          </w:p>
        </w:tc>
        <w:tc>
          <w:tcPr>
            <w:tcW w:w="4212" w:type="dxa"/>
          </w:tcPr>
          <w:p w14:paraId="565CBF03" w14:textId="06182113" w:rsidR="009F67A5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</w:t>
            </w:r>
          </w:p>
        </w:tc>
      </w:tr>
      <w:tr w:rsidR="009F67A5" w:rsidRPr="007279E7" w14:paraId="47A687C8" w14:textId="77777777" w:rsidTr="005D614B">
        <w:tc>
          <w:tcPr>
            <w:tcW w:w="5138" w:type="dxa"/>
          </w:tcPr>
          <w:p w14:paraId="300E1B8D" w14:textId="77777777" w:rsidR="009F67A5" w:rsidRPr="007279E7" w:rsidRDefault="009F67A5" w:rsidP="005D614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Број тоалетних кабина</w:t>
            </w:r>
          </w:p>
        </w:tc>
        <w:tc>
          <w:tcPr>
            <w:tcW w:w="4212" w:type="dxa"/>
          </w:tcPr>
          <w:p w14:paraId="2843AF3D" w14:textId="77777777" w:rsidR="009F67A5" w:rsidRPr="007279E7" w:rsidRDefault="009F67A5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17 + 1 за особе са инвалидитетом</w:t>
            </w:r>
          </w:p>
        </w:tc>
      </w:tr>
      <w:tr w:rsidR="009F67A5" w:rsidRPr="008D3809" w14:paraId="4B0B87A9" w14:textId="77777777" w:rsidTr="005D614B">
        <w:tc>
          <w:tcPr>
            <w:tcW w:w="5138" w:type="dxa"/>
          </w:tcPr>
          <w:p w14:paraId="19E62623" w14:textId="77777777" w:rsidR="00F26401" w:rsidRPr="007279E7" w:rsidRDefault="00F26401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EE94" w14:textId="02687CA6" w:rsidR="009F67A5" w:rsidRPr="007279E7" w:rsidRDefault="009F67A5" w:rsidP="00F2640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Специјална опрема, софтвер,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учила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2" w:type="dxa"/>
          </w:tcPr>
          <w:p w14:paraId="43D48553" w14:textId="2C965994" w:rsidR="009F67A5" w:rsidRPr="007279E7" w:rsidRDefault="009F67A5" w:rsidP="005D614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Пројектор,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апарат за копирање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тв плазма, сервер, цд плејер, клавир,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штафелај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графоскоп</w:t>
            </w:r>
            <w:r w:rsidR="005D614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микроскопи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др.</w:t>
            </w:r>
          </w:p>
        </w:tc>
      </w:tr>
    </w:tbl>
    <w:p w14:paraId="117E806C" w14:textId="77777777" w:rsidR="004D4C17" w:rsidRPr="007279E7" w:rsidRDefault="004D4C17" w:rsidP="00641B3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програма. Факултет поред информатичког кабинета, посједује за потребе студената и запослених одговарајући број рачунара са интернет прикључцима, камере за снимање, штампаче, скенере, фотокопир апарате и сл. </w:t>
      </w:r>
    </w:p>
    <w:p w14:paraId="4C8B1700" w14:textId="77777777" w:rsidR="00F26401" w:rsidRPr="007279E7" w:rsidRDefault="00F26401" w:rsidP="00641B3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DCA22" w14:textId="77777777" w:rsidR="00F04CD7" w:rsidRPr="008D3809" w:rsidRDefault="00F04CD7" w:rsidP="00F26401">
      <w:pPr>
        <w:spacing w:before="24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2C9F0BF2" w14:textId="1640E13E" w:rsidR="00F26401" w:rsidRPr="007279E7" w:rsidRDefault="00F26401" w:rsidP="00F26401">
      <w:pPr>
        <w:spacing w:before="240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8D3809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Табела 2.</w:t>
      </w:r>
      <w:r w:rsidRPr="008D38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Листа просторија са површином у високошколској установи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679"/>
        <w:gridCol w:w="1170"/>
        <w:gridCol w:w="3240"/>
        <w:gridCol w:w="1615"/>
      </w:tblGrid>
      <w:tr w:rsidR="006874F1" w:rsidRPr="007279E7" w14:paraId="4F701012" w14:textId="77777777" w:rsidTr="006874F1"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6C9A0B98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Р.Б.</w:t>
            </w:r>
          </w:p>
        </w:tc>
        <w:tc>
          <w:tcPr>
            <w:tcW w:w="2679" w:type="dxa"/>
            <w:shd w:val="clear" w:color="auto" w:fill="BFBFBF" w:themeFill="background1" w:themeFillShade="BF"/>
            <w:vAlign w:val="center"/>
          </w:tcPr>
          <w:p w14:paraId="6CBBA766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Соба (наведите сваку посебно)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611E485" w14:textId="10C19B80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6874F1"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874F1"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ознака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2778B4E2" w14:textId="5D8BF8DF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Број с</w:t>
            </w:r>
            <w:r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ј</w:t>
            </w: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едишта/рачунара</w:t>
            </w:r>
          </w:p>
        </w:tc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5CC01199" w14:textId="42D59FDB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 м²</w:t>
            </w:r>
          </w:p>
        </w:tc>
      </w:tr>
      <w:tr w:rsidR="00F26401" w:rsidRPr="007279E7" w14:paraId="595E9FDC" w14:textId="77777777" w:rsidTr="006874F1">
        <w:tc>
          <w:tcPr>
            <w:tcW w:w="646" w:type="dxa"/>
            <w:vAlign w:val="center"/>
          </w:tcPr>
          <w:p w14:paraId="19255530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  <w:vAlign w:val="center"/>
          </w:tcPr>
          <w:p w14:paraId="4841D353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Амфитеатар </w:t>
            </w:r>
          </w:p>
        </w:tc>
        <w:tc>
          <w:tcPr>
            <w:tcW w:w="1170" w:type="dxa"/>
          </w:tcPr>
          <w:p w14:paraId="2054FC88" w14:textId="5DD7650E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7768BE07" w14:textId="62345545" w:rsidR="00F26401" w:rsidRPr="007279E7" w:rsidRDefault="006874F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74 столица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+ 1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+ 1 пројектор</w:t>
            </w:r>
          </w:p>
        </w:tc>
        <w:tc>
          <w:tcPr>
            <w:tcW w:w="1615" w:type="dxa"/>
          </w:tcPr>
          <w:p w14:paraId="084EFD78" w14:textId="16214CD6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1B66A913" w14:textId="77777777" w:rsidTr="006874F1">
        <w:tc>
          <w:tcPr>
            <w:tcW w:w="646" w:type="dxa"/>
            <w:vAlign w:val="center"/>
          </w:tcPr>
          <w:p w14:paraId="1E27AEC3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  <w:vAlign w:val="center"/>
          </w:tcPr>
          <w:p w14:paraId="736841A2" w14:textId="66FC5428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Слушаонице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ио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</w:p>
        </w:tc>
        <w:tc>
          <w:tcPr>
            <w:tcW w:w="1170" w:type="dxa"/>
          </w:tcPr>
          <w:p w14:paraId="01AAD90B" w14:textId="2B4CAABF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125531C6" w14:textId="6B985382" w:rsidR="00F26401" w:rsidRPr="007279E7" w:rsidRDefault="006874F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307 столица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+ 6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+ 6 пројектора</w:t>
            </w:r>
          </w:p>
        </w:tc>
        <w:tc>
          <w:tcPr>
            <w:tcW w:w="1615" w:type="dxa"/>
          </w:tcPr>
          <w:p w14:paraId="696323F0" w14:textId="75734149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311,40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6DBE050B" w14:textId="77777777" w:rsidTr="006874F1">
        <w:tc>
          <w:tcPr>
            <w:tcW w:w="646" w:type="dxa"/>
            <w:vAlign w:val="center"/>
          </w:tcPr>
          <w:p w14:paraId="4C70ED2F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  <w:vAlign w:val="center"/>
          </w:tcPr>
          <w:p w14:paraId="2347EF28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Вјежбаонице </w:t>
            </w:r>
          </w:p>
        </w:tc>
        <w:tc>
          <w:tcPr>
            <w:tcW w:w="1170" w:type="dxa"/>
          </w:tcPr>
          <w:p w14:paraId="19AE8529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240" w:type="dxa"/>
          </w:tcPr>
          <w:p w14:paraId="57372F23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615" w:type="dxa"/>
          </w:tcPr>
          <w:p w14:paraId="7B184939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F26401" w:rsidRPr="007279E7" w14:paraId="210C4CA8" w14:textId="77777777" w:rsidTr="006874F1">
        <w:tc>
          <w:tcPr>
            <w:tcW w:w="646" w:type="dxa"/>
            <w:vAlign w:val="center"/>
          </w:tcPr>
          <w:p w14:paraId="2DD46238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9" w:type="dxa"/>
            <w:vAlign w:val="center"/>
          </w:tcPr>
          <w:p w14:paraId="47C8D57C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Лабораторија </w:t>
            </w:r>
          </w:p>
        </w:tc>
        <w:tc>
          <w:tcPr>
            <w:tcW w:w="1170" w:type="dxa"/>
          </w:tcPr>
          <w:p w14:paraId="7EB2D966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2E4B18B7" w14:textId="67D4887B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24 столи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це +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</w:t>
            </w:r>
          </w:p>
        </w:tc>
        <w:tc>
          <w:tcPr>
            <w:tcW w:w="1615" w:type="dxa"/>
          </w:tcPr>
          <w:p w14:paraId="11FFE54C" w14:textId="4CE7901C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53,75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36905C39" w14:textId="77777777" w:rsidTr="006874F1">
        <w:tc>
          <w:tcPr>
            <w:tcW w:w="646" w:type="dxa"/>
            <w:vAlign w:val="center"/>
          </w:tcPr>
          <w:p w14:paraId="6FE59DC6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9" w:type="dxa"/>
            <w:vAlign w:val="center"/>
          </w:tcPr>
          <w:p w14:paraId="56E29F7A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Компјутерска лабораторија </w:t>
            </w:r>
          </w:p>
        </w:tc>
        <w:tc>
          <w:tcPr>
            <w:tcW w:w="1170" w:type="dxa"/>
          </w:tcPr>
          <w:p w14:paraId="4F0CF08C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3E7513E9" w14:textId="298C9617" w:rsidR="00F26401" w:rsidRPr="007279E7" w:rsidRDefault="006874F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23 столи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це +16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401" w:rsidRPr="007279E7">
              <w:rPr>
                <w:rFonts w:ascii="Times New Roman" w:hAnsi="Times New Roman" w:cs="Times New Roman"/>
                <w:sz w:val="24"/>
                <w:szCs w:val="24"/>
              </w:rPr>
              <w:t>+ пројектор</w:t>
            </w:r>
          </w:p>
        </w:tc>
        <w:tc>
          <w:tcPr>
            <w:tcW w:w="1615" w:type="dxa"/>
          </w:tcPr>
          <w:p w14:paraId="2C899E73" w14:textId="40B07F0B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100,75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127EF9F6" w14:textId="77777777" w:rsidTr="006874F1">
        <w:tc>
          <w:tcPr>
            <w:tcW w:w="646" w:type="dxa"/>
            <w:vAlign w:val="center"/>
          </w:tcPr>
          <w:p w14:paraId="5B2EC442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9" w:type="dxa"/>
            <w:vAlign w:val="center"/>
          </w:tcPr>
          <w:p w14:paraId="2C2BF1BE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Радионице </w:t>
            </w:r>
          </w:p>
        </w:tc>
        <w:tc>
          <w:tcPr>
            <w:tcW w:w="1170" w:type="dxa"/>
          </w:tcPr>
          <w:p w14:paraId="2CE5D0BA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240" w:type="dxa"/>
          </w:tcPr>
          <w:p w14:paraId="07854D16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615" w:type="dxa"/>
          </w:tcPr>
          <w:p w14:paraId="1FEAEC7B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  <w:tr w:rsidR="00F26401" w:rsidRPr="007279E7" w14:paraId="0517838F" w14:textId="77777777" w:rsidTr="006874F1">
        <w:tc>
          <w:tcPr>
            <w:tcW w:w="646" w:type="dxa"/>
            <w:vAlign w:val="center"/>
          </w:tcPr>
          <w:p w14:paraId="2C480C97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9" w:type="dxa"/>
            <w:vAlign w:val="center"/>
          </w:tcPr>
          <w:p w14:paraId="6317B580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Библиотеке </w:t>
            </w:r>
          </w:p>
        </w:tc>
        <w:tc>
          <w:tcPr>
            <w:tcW w:w="1170" w:type="dxa"/>
          </w:tcPr>
          <w:p w14:paraId="1F9AD5A1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12024B12" w14:textId="07AD20C4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 столи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+ 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</w:t>
            </w:r>
          </w:p>
        </w:tc>
        <w:tc>
          <w:tcPr>
            <w:tcW w:w="1615" w:type="dxa"/>
          </w:tcPr>
          <w:p w14:paraId="7D06B33F" w14:textId="71314B6F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53,50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0AA2EA88" w14:textId="77777777" w:rsidTr="006874F1">
        <w:tc>
          <w:tcPr>
            <w:tcW w:w="646" w:type="dxa"/>
            <w:vAlign w:val="center"/>
          </w:tcPr>
          <w:p w14:paraId="721EA83D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9" w:type="dxa"/>
            <w:vAlign w:val="center"/>
          </w:tcPr>
          <w:p w14:paraId="1D291B35" w14:textId="00F1708A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Читаонице</w:t>
            </w:r>
          </w:p>
        </w:tc>
        <w:tc>
          <w:tcPr>
            <w:tcW w:w="1170" w:type="dxa"/>
          </w:tcPr>
          <w:p w14:paraId="4D057B39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665511AC" w14:textId="6DE9230E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4 столи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це</w:t>
            </w:r>
          </w:p>
        </w:tc>
        <w:tc>
          <w:tcPr>
            <w:tcW w:w="1615" w:type="dxa"/>
          </w:tcPr>
          <w:p w14:paraId="6893D6C3" w14:textId="145725F8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27,10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70A3BE99" w14:textId="77777777" w:rsidTr="006874F1">
        <w:tc>
          <w:tcPr>
            <w:tcW w:w="646" w:type="dxa"/>
            <w:vAlign w:val="center"/>
          </w:tcPr>
          <w:p w14:paraId="270C2844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9" w:type="dxa"/>
            <w:vAlign w:val="center"/>
          </w:tcPr>
          <w:p w14:paraId="18718FC6" w14:textId="611BC82D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Сале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57A554F4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240" w:type="dxa"/>
          </w:tcPr>
          <w:p w14:paraId="7CB8ED0D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615" w:type="dxa"/>
          </w:tcPr>
          <w:p w14:paraId="5D6B18D0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  <w:tr w:rsidR="00F26401" w:rsidRPr="007279E7" w14:paraId="6EC4E883" w14:textId="77777777" w:rsidTr="006874F1">
        <w:tc>
          <w:tcPr>
            <w:tcW w:w="646" w:type="dxa"/>
            <w:vAlign w:val="center"/>
          </w:tcPr>
          <w:p w14:paraId="54D3E805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  <w:vAlign w:val="center"/>
          </w:tcPr>
          <w:p w14:paraId="6078EC25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Друштвени простор кафе,кантина</w:t>
            </w:r>
          </w:p>
        </w:tc>
        <w:tc>
          <w:tcPr>
            <w:tcW w:w="1170" w:type="dxa"/>
          </w:tcPr>
          <w:p w14:paraId="1A08299A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4630AA79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24 столице + 8 фотеља</w:t>
            </w:r>
          </w:p>
        </w:tc>
        <w:tc>
          <w:tcPr>
            <w:tcW w:w="1615" w:type="dxa"/>
          </w:tcPr>
          <w:p w14:paraId="5408C045" w14:textId="4C10311E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45,35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3D80AC57" w14:textId="77777777" w:rsidTr="006874F1">
        <w:tc>
          <w:tcPr>
            <w:tcW w:w="646" w:type="dxa"/>
            <w:vAlign w:val="center"/>
          </w:tcPr>
          <w:p w14:paraId="1318D471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9" w:type="dxa"/>
            <w:vAlign w:val="center"/>
          </w:tcPr>
          <w:p w14:paraId="3A9AA76D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Санитарни чвор</w:t>
            </w:r>
          </w:p>
        </w:tc>
        <w:tc>
          <w:tcPr>
            <w:tcW w:w="1170" w:type="dxa"/>
          </w:tcPr>
          <w:p w14:paraId="5A15D929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6 + 1</w:t>
            </w:r>
          </w:p>
        </w:tc>
        <w:tc>
          <w:tcPr>
            <w:tcW w:w="3240" w:type="dxa"/>
          </w:tcPr>
          <w:p w14:paraId="1338EE90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 столица</w:t>
            </w:r>
          </w:p>
        </w:tc>
        <w:tc>
          <w:tcPr>
            <w:tcW w:w="1615" w:type="dxa"/>
          </w:tcPr>
          <w:p w14:paraId="0A24B6AC" w14:textId="3F415725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56,85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69B3E947" w14:textId="77777777" w:rsidTr="006874F1">
        <w:tc>
          <w:tcPr>
            <w:tcW w:w="646" w:type="dxa"/>
            <w:vAlign w:val="center"/>
          </w:tcPr>
          <w:p w14:paraId="0C6066DE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9" w:type="dxa"/>
            <w:vAlign w:val="center"/>
          </w:tcPr>
          <w:p w14:paraId="6956FD48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Остава</w:t>
            </w:r>
          </w:p>
        </w:tc>
        <w:tc>
          <w:tcPr>
            <w:tcW w:w="1170" w:type="dxa"/>
          </w:tcPr>
          <w:p w14:paraId="493F9A8F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28192CE7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 столица</w:t>
            </w:r>
          </w:p>
        </w:tc>
        <w:tc>
          <w:tcPr>
            <w:tcW w:w="1615" w:type="dxa"/>
          </w:tcPr>
          <w:p w14:paraId="68DC624C" w14:textId="79613D73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4,40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6304C058" w14:textId="77777777" w:rsidTr="006874F1">
        <w:tc>
          <w:tcPr>
            <w:tcW w:w="646" w:type="dxa"/>
            <w:vAlign w:val="center"/>
          </w:tcPr>
          <w:p w14:paraId="613EB267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79" w:type="dxa"/>
            <w:vAlign w:val="center"/>
          </w:tcPr>
          <w:p w14:paraId="3D4F1247" w14:textId="6B35923D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Наставнички кабинети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1D7D071C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14:paraId="6086846D" w14:textId="33B7C971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35 столица + 14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</w:t>
            </w:r>
          </w:p>
        </w:tc>
        <w:tc>
          <w:tcPr>
            <w:tcW w:w="1615" w:type="dxa"/>
          </w:tcPr>
          <w:p w14:paraId="23933FD6" w14:textId="0B163E6C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139,80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7526A772" w14:textId="77777777" w:rsidTr="006874F1">
        <w:tc>
          <w:tcPr>
            <w:tcW w:w="646" w:type="dxa"/>
            <w:vAlign w:val="center"/>
          </w:tcPr>
          <w:p w14:paraId="4853D45F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79" w:type="dxa"/>
            <w:vAlign w:val="center"/>
          </w:tcPr>
          <w:p w14:paraId="530729A3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Лабораторије за рад наставног особља</w:t>
            </w:r>
          </w:p>
        </w:tc>
        <w:tc>
          <w:tcPr>
            <w:tcW w:w="1170" w:type="dxa"/>
          </w:tcPr>
          <w:p w14:paraId="54D525FC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101F113D" w14:textId="151BFF0C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6 столица + 5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</w:t>
            </w:r>
          </w:p>
        </w:tc>
        <w:tc>
          <w:tcPr>
            <w:tcW w:w="1615" w:type="dxa"/>
          </w:tcPr>
          <w:p w14:paraId="12E4F8BA" w14:textId="13A3B9A9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20,50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6E2D23BD" w14:textId="77777777" w:rsidTr="006874F1">
        <w:tc>
          <w:tcPr>
            <w:tcW w:w="646" w:type="dxa"/>
            <w:vAlign w:val="center"/>
          </w:tcPr>
          <w:p w14:paraId="66F2C33D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79" w:type="dxa"/>
            <w:vAlign w:val="center"/>
          </w:tcPr>
          <w:p w14:paraId="0A38DAB3" w14:textId="60E7B3AB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Сала за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састанке</w:t>
            </w:r>
          </w:p>
        </w:tc>
        <w:tc>
          <w:tcPr>
            <w:tcW w:w="1170" w:type="dxa"/>
          </w:tcPr>
          <w:p w14:paraId="422AA8D8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799C3990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6 столица + 1 плазма</w:t>
            </w:r>
          </w:p>
        </w:tc>
        <w:tc>
          <w:tcPr>
            <w:tcW w:w="1615" w:type="dxa"/>
          </w:tcPr>
          <w:p w14:paraId="79593402" w14:textId="3A03FAD3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24,50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6A6A0E72" w14:textId="77777777" w:rsidTr="006874F1">
        <w:tc>
          <w:tcPr>
            <w:tcW w:w="646" w:type="dxa"/>
            <w:vAlign w:val="center"/>
          </w:tcPr>
          <w:p w14:paraId="54C102F8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79" w:type="dxa"/>
            <w:vAlign w:val="center"/>
          </w:tcPr>
          <w:p w14:paraId="0B9BC0EF" w14:textId="6402AEA9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Студентска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служба</w:t>
            </w:r>
          </w:p>
        </w:tc>
        <w:tc>
          <w:tcPr>
            <w:tcW w:w="1170" w:type="dxa"/>
          </w:tcPr>
          <w:p w14:paraId="71454652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09A7AC28" w14:textId="1743E980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3 столице + 3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рачунара</w:t>
            </w:r>
          </w:p>
        </w:tc>
        <w:tc>
          <w:tcPr>
            <w:tcW w:w="1615" w:type="dxa"/>
          </w:tcPr>
          <w:p w14:paraId="00843175" w14:textId="3AD8E91F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16,50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335D57EC" w14:textId="77777777" w:rsidTr="006874F1">
        <w:tc>
          <w:tcPr>
            <w:tcW w:w="646" w:type="dxa"/>
            <w:vAlign w:val="center"/>
          </w:tcPr>
          <w:p w14:paraId="01B92D6C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79" w:type="dxa"/>
            <w:vAlign w:val="center"/>
          </w:tcPr>
          <w:p w14:paraId="3810266E" w14:textId="2D20C756" w:rsidR="00F26401" w:rsidRPr="007279E7" w:rsidRDefault="00F26401" w:rsidP="006874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зичк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и кабинет</w:t>
            </w:r>
          </w:p>
        </w:tc>
        <w:tc>
          <w:tcPr>
            <w:tcW w:w="1170" w:type="dxa"/>
          </w:tcPr>
          <w:p w14:paraId="5E9F2B85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1B556AD4" w14:textId="208D9CCA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43 столић + 1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рачунар</w:t>
            </w:r>
          </w:p>
        </w:tc>
        <w:tc>
          <w:tcPr>
            <w:tcW w:w="1615" w:type="dxa"/>
          </w:tcPr>
          <w:p w14:paraId="36F014DE" w14:textId="60C5F48F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49,45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0C7A60AD" w14:textId="77777777" w:rsidTr="006874F1">
        <w:tc>
          <w:tcPr>
            <w:tcW w:w="646" w:type="dxa"/>
            <w:vAlign w:val="center"/>
          </w:tcPr>
          <w:p w14:paraId="1F02D952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79" w:type="dxa"/>
            <w:vAlign w:val="center"/>
          </w:tcPr>
          <w:p w14:paraId="4B57D76F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Секретаријат  </w:t>
            </w:r>
          </w:p>
        </w:tc>
        <w:tc>
          <w:tcPr>
            <w:tcW w:w="1170" w:type="dxa"/>
          </w:tcPr>
          <w:p w14:paraId="03F0A375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41BB62B8" w14:textId="447A8FF4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 столица + 1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</w:t>
            </w:r>
          </w:p>
        </w:tc>
        <w:tc>
          <w:tcPr>
            <w:tcW w:w="1615" w:type="dxa"/>
          </w:tcPr>
          <w:p w14:paraId="4CC714EB" w14:textId="139F3E7E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12,70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13BC7C0B" w14:textId="77777777" w:rsidTr="006874F1">
        <w:tc>
          <w:tcPr>
            <w:tcW w:w="646" w:type="dxa"/>
            <w:vAlign w:val="center"/>
          </w:tcPr>
          <w:p w14:paraId="4DDB9680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79" w:type="dxa"/>
            <w:vAlign w:val="center"/>
          </w:tcPr>
          <w:p w14:paraId="7C299B8A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Студентски савез </w:t>
            </w:r>
          </w:p>
        </w:tc>
        <w:tc>
          <w:tcPr>
            <w:tcW w:w="1170" w:type="dxa"/>
          </w:tcPr>
          <w:p w14:paraId="634104AD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505D5150" w14:textId="4FBE428A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 столи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це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+ 1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</w:t>
            </w:r>
          </w:p>
        </w:tc>
        <w:tc>
          <w:tcPr>
            <w:tcW w:w="1615" w:type="dxa"/>
          </w:tcPr>
          <w:p w14:paraId="27055C8E" w14:textId="63DFB3CD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16,60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16F8440F" w14:textId="77777777" w:rsidTr="006874F1">
        <w:tc>
          <w:tcPr>
            <w:tcW w:w="646" w:type="dxa"/>
            <w:vAlign w:val="center"/>
          </w:tcPr>
          <w:p w14:paraId="40EF7E46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79" w:type="dxa"/>
            <w:vAlign w:val="center"/>
          </w:tcPr>
          <w:p w14:paraId="3ECC19D3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1170" w:type="dxa"/>
          </w:tcPr>
          <w:p w14:paraId="370777B0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34877215" w14:textId="454BD3AD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 столица + 1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</w:t>
            </w:r>
          </w:p>
        </w:tc>
        <w:tc>
          <w:tcPr>
            <w:tcW w:w="1615" w:type="dxa"/>
          </w:tcPr>
          <w:p w14:paraId="4B304C9F" w14:textId="361C2029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8,75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06E1CCDC" w14:textId="77777777" w:rsidTr="006874F1">
        <w:tc>
          <w:tcPr>
            <w:tcW w:w="646" w:type="dxa"/>
            <w:vAlign w:val="center"/>
          </w:tcPr>
          <w:p w14:paraId="4D57B430" w14:textId="77777777" w:rsidR="00F26401" w:rsidRPr="007279E7" w:rsidRDefault="00F26401" w:rsidP="00F264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9" w:type="dxa"/>
            <w:vAlign w:val="center"/>
          </w:tcPr>
          <w:p w14:paraId="38A86CE1" w14:textId="77777777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1170" w:type="dxa"/>
          </w:tcPr>
          <w:p w14:paraId="3065CC9B" w14:textId="77777777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0" w:type="dxa"/>
          </w:tcPr>
          <w:p w14:paraId="4C671A1E" w14:textId="6EEBF516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 столи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це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 + 1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рачунар</w:t>
            </w:r>
          </w:p>
        </w:tc>
        <w:tc>
          <w:tcPr>
            <w:tcW w:w="1615" w:type="dxa"/>
          </w:tcPr>
          <w:p w14:paraId="2A61D980" w14:textId="6C308DE0" w:rsidR="00F26401" w:rsidRPr="007279E7" w:rsidRDefault="00F26401" w:rsidP="006874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12,55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26401" w:rsidRPr="007279E7" w14:paraId="1AA299B1" w14:textId="77777777" w:rsidTr="00F26401">
        <w:tc>
          <w:tcPr>
            <w:tcW w:w="7735" w:type="dxa"/>
            <w:gridSpan w:val="4"/>
          </w:tcPr>
          <w:p w14:paraId="1F7CC0BB" w14:textId="77777777" w:rsidR="00F26401" w:rsidRPr="007279E7" w:rsidRDefault="00F26401" w:rsidP="00F26401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Током </w:t>
            </w:r>
          </w:p>
        </w:tc>
        <w:tc>
          <w:tcPr>
            <w:tcW w:w="1615" w:type="dxa"/>
          </w:tcPr>
          <w:p w14:paraId="0FFA913D" w14:textId="5EE8A2D3" w:rsidR="00F26401" w:rsidRPr="007279E7" w:rsidRDefault="00F26401" w:rsidP="00F264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084,48 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6874F1" w:rsidRPr="0072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06493A9D" w14:textId="77777777" w:rsidR="006874F1" w:rsidRPr="007279E7" w:rsidRDefault="006874F1" w:rsidP="006874F1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/>
          <w:iCs/>
          <w:sz w:val="24"/>
          <w:szCs w:val="24"/>
        </w:rPr>
        <w:t xml:space="preserve">Табела 3. </w:t>
      </w:r>
      <w:r w:rsidRPr="007279E7">
        <w:rPr>
          <w:rFonts w:ascii="Times New Roman" w:hAnsi="Times New Roman" w:cs="Times New Roman"/>
          <w:iCs/>
          <w:sz w:val="24"/>
          <w:szCs w:val="24"/>
        </w:rPr>
        <w:t>Листа вредније опреме која се користи у наставном процесу у високошколској установи (опрема у вриједности 10.000-100.000 КМ)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6823"/>
        <w:gridCol w:w="7"/>
        <w:gridCol w:w="1525"/>
      </w:tblGrid>
      <w:tr w:rsidR="006874F1" w:rsidRPr="007279E7" w14:paraId="03EBA402" w14:textId="77777777" w:rsidTr="005D614B"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5A531B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4"/>
                <w:szCs w:val="24"/>
                <w:lang w:val="sr-Cyrl-CS" w:eastAsia="sr-Cyrl-CS"/>
              </w:rPr>
            </w:pPr>
            <w:r w:rsidRPr="007279E7">
              <w:rPr>
                <w:rFonts w:ascii="Times New Roman" w:eastAsiaTheme="majorEastAsia" w:hAnsi="Times New Roman" w:cs="Times New Roman"/>
                <w:b/>
                <w:kern w:val="0"/>
                <w:sz w:val="24"/>
                <w:szCs w:val="24"/>
                <w:lang w:eastAsia="sr-Cyrl-CS"/>
              </w:rPr>
              <w:t>Р.Б.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3303E2" w14:textId="6F214C6B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kern w:val="0"/>
                <w:sz w:val="24"/>
                <w:szCs w:val="24"/>
                <w:lang w:val="sr-Cyrl-CS" w:eastAsia="sr-Cyrl-CS"/>
              </w:rPr>
            </w:pPr>
            <w:r w:rsidRPr="007279E7">
              <w:rPr>
                <w:rFonts w:ascii="Times New Roman" w:eastAsiaTheme="majorEastAsia" w:hAnsi="Times New Roman" w:cs="Times New Roman"/>
                <w:b/>
                <w:kern w:val="0"/>
                <w:sz w:val="24"/>
                <w:szCs w:val="24"/>
                <w:lang w:eastAsia="sr-Cyrl-CS"/>
              </w:rPr>
              <w:t>Назив, тип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628BD1C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kern w:val="0"/>
                <w:sz w:val="24"/>
                <w:szCs w:val="24"/>
                <w:lang w:val="sr-Cyrl-CS" w:eastAsia="sr-Cyrl-CS"/>
              </w:rPr>
            </w:pPr>
            <w:r w:rsidRPr="007279E7">
              <w:rPr>
                <w:rFonts w:ascii="Times New Roman" w:eastAsiaTheme="majorEastAsia" w:hAnsi="Times New Roman" w:cs="Times New Roman"/>
                <w:b/>
                <w:kern w:val="0"/>
                <w:sz w:val="24"/>
                <w:szCs w:val="24"/>
                <w:lang w:eastAsia="sr-Cyrl-CS"/>
              </w:rPr>
              <w:t>Број</w:t>
            </w:r>
          </w:p>
        </w:tc>
      </w:tr>
      <w:tr w:rsidR="006874F1" w:rsidRPr="007279E7" w14:paraId="32D86964" w14:textId="77777777" w:rsidTr="005D614B"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831F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FE0D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sr-Cyrl-C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Пентиум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E5200, 5GB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РАМ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FEA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6CDBF5B0" w14:textId="77777777" w:rsidTr="005D614B"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E165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9EC9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sr-Cyrl-CS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Cyrl-CS"/>
              </w:rPr>
              <w:t>Делл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Cyrl-CS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Cyrl-CS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  <w:t xml:space="preserve"> i3 3220, 8GB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Cyrl-CS"/>
              </w:rPr>
              <w:t>РАМ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364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47B8196D" w14:textId="77777777" w:rsidTr="005D614B"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42DE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2812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i5 4570, 8GB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РАМ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2A3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5E7FAB30" w14:textId="77777777" w:rsidTr="005D614B"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47F4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6848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Фујитсу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i3-2100, 8GB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69BF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10</w:t>
            </w:r>
          </w:p>
        </w:tc>
      </w:tr>
      <w:tr w:rsidR="006874F1" w:rsidRPr="007279E7" w14:paraId="6E1F5CF5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325E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297F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i5-10400,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D5D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0F60594C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1F6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E086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Делл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Цоре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2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Дуо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E7500, 2GB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3A1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4349D88C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7825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24D8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192" w:lineRule="exact"/>
              <w:ind w:left="5" w:hanging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Фујитсу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Пентиум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G4400,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409E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77FBEFBD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42F6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lastRenderedPageBreak/>
              <w:t>8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9182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16" w:lineRule="exact"/>
              <w:ind w:left="5" w:hanging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АМД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>y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зен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5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Про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4650G, 16GB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26A2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15772B5F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0C2A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6D5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Делл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7040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СФФ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Мини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i5-6500,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8FE6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347ECAE9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9390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A9B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Фујитсу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i3-6100,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D5D9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6874F1" w:rsidRPr="007279E7" w14:paraId="48AE0F57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27C1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1286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Фујитсу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Пентиум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G4400,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5873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6874F1" w:rsidRPr="007279E7" w14:paraId="691B582D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5518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676B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ХП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Цоре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2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Дуо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E8500, 4GB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245A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0D454A25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9B20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003A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Делл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i3-3220, 4GB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699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79E57030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29C2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D9C8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Делл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Цоре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2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Дуо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, 4GB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B37C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51C7A5A1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E0F6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439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ХП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i7-10700,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D17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6</w:t>
            </w:r>
          </w:p>
        </w:tc>
      </w:tr>
      <w:tr w:rsidR="006874F1" w:rsidRPr="007279E7" w14:paraId="2EB7FAC5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F990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EE9E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ХП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Цоре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2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Дуо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E7400, 4GB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ED0E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0FA1BEB0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1262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29FE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i3-6100, 16GB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E0CD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2725ACC6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31D7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DF05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sr-Cyrl-CS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Фујитсу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десктоп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рачунар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 xml:space="preserve"> i5-2400, 4GB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 w:eastAsia="sr-Cyrl-CS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Cyrl-CS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9B75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43212E08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F687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87A4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CS" w:eastAsia="hr-HR"/>
              </w:rPr>
              <w:t xml:space="preserve">ХП десктоп рачунар Интел Цоре 2 Дуо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E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CS" w:eastAsia="hr-HR"/>
              </w:rPr>
              <w:t>8400, 4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GB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CS" w:eastAsia="hr-HR"/>
              </w:rPr>
              <w:t xml:space="preserve"> РАМ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55F4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5BD6CB19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22E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106C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Фујитсу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Лифебоок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Е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сериес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лаптоп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Интел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i5-4300M, 8GB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AD5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79D13E3B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73A5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5A8F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Елитебоок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лаптоп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i5 M520, 4GB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РАМ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>-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DCB7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18</w:t>
            </w:r>
          </w:p>
        </w:tc>
      </w:tr>
      <w:tr w:rsidR="006874F1" w:rsidRPr="007279E7" w14:paraId="6ECC6F12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50E5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5DF3" w14:textId="526FCB04" w:rsidR="006874F1" w:rsidRPr="007279E7" w:rsidRDefault="006874F1" w:rsidP="00F9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УниФи </w:t>
            </w:r>
            <w:r w:rsidR="00F91FEB"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</w:rPr>
              <w:t>Дреам мацхине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F764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4D06C0CE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0B2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1276" w14:textId="76FF44A8" w:rsidR="006874F1" w:rsidRPr="007279E7" w:rsidRDefault="00F91FEB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СМАРТ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Боард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X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сериес</w:t>
            </w:r>
            <w:r w:rsidR="006874F1"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="006874F1"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паметна</w:t>
            </w:r>
            <w:r w:rsidR="006874F1"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="006874F1"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табла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FD0E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069DD8DD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6A97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EED6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Ацер X128H пројектор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4243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61C538CB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4590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96C1" w14:textId="6B4145D3" w:rsidR="006874F1" w:rsidRPr="007279E7" w:rsidRDefault="006874F1" w:rsidP="00F9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Коница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Минолта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Бизхуб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287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мулти</w:t>
            </w:r>
            <w:r w:rsidR="00F91FEB"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</w:rPr>
              <w:t xml:space="preserve"> функционални штампач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444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6874F1" w:rsidRPr="007279E7" w14:paraId="69D11985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30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702E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>X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иаоми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1c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монитор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24&amp;q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уот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;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монитор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ВГА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,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ХДМИ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526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11</w:t>
            </w:r>
          </w:p>
        </w:tc>
      </w:tr>
      <w:tr w:rsidR="006874F1" w:rsidRPr="007279E7" w14:paraId="77C194CA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EBB2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C01C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Асус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VP247HAE 24&amp;q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уот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;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монитор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ВГА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,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ХДМИ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F812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11</w:t>
            </w:r>
          </w:p>
        </w:tc>
      </w:tr>
      <w:tr w:rsidR="006874F1" w:rsidRPr="007279E7" w14:paraId="1D0C5FEC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09CF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30ED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Ацер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AL1716 19&amp;q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уот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;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монитор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ВГА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CF0F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</w:t>
            </w:r>
          </w:p>
        </w:tc>
      </w:tr>
      <w:tr w:rsidR="006874F1" w:rsidRPr="007279E7" w14:paraId="30EFA7BC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A2AB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454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ХП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>Q-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ТРЕ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24&amp;q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уот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;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монитор</w:t>
            </w:r>
            <w:r w:rsidRPr="008D3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ХДМИ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9E3F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9</w:t>
            </w:r>
          </w:p>
        </w:tc>
      </w:tr>
      <w:tr w:rsidR="006874F1" w:rsidRPr="007279E7" w14:paraId="4CFC5824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B0C2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E0A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Бенq MS506 пројектор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66F9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</w:t>
            </w:r>
          </w:p>
        </w:tc>
      </w:tr>
      <w:tr w:rsidR="006874F1" w:rsidRPr="007279E7" w14:paraId="39EE92D1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4D5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2061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Ацер P1250 пројектор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D7B2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649C2BB0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3CE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8598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Ацер X1228H ДЛП пројектор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C362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531C3E2E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FBC4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7F92" w14:textId="6057A11B" w:rsidR="006874F1" w:rsidRPr="007279E7" w:rsidRDefault="00F91FEB" w:rsidP="00F9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Самсунг МЛ-1665 ласерски штампач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D71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6874F1" w:rsidRPr="007279E7" w14:paraId="5C96B1B0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3B7B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D68B" w14:textId="52006D4B" w:rsidR="006874F1" w:rsidRPr="007279E7" w:rsidRDefault="006874F1" w:rsidP="00F9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К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>y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оцера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ФС</w:t>
            </w:r>
            <w:r w:rsidRPr="008D38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Latn-RS" w:eastAsia="hr-HR"/>
              </w:rPr>
              <w:t xml:space="preserve">-1120 </w:t>
            </w: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мулти</w:t>
            </w:r>
            <w:r w:rsidR="00F91FEB"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BA" w:eastAsia="hr-HR"/>
              </w:rPr>
              <w:t xml:space="preserve"> функционални штампач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6BE3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6874F1" w:rsidRPr="007279E7" w14:paraId="7AECD72E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9F0E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A810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Канцеларијски оптички миш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EB3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31</w:t>
            </w:r>
          </w:p>
        </w:tc>
      </w:tr>
      <w:tr w:rsidR="006874F1" w:rsidRPr="007279E7" w14:paraId="48B9C994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FBB7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8D00" w14:textId="2EA80CD7" w:rsidR="006874F1" w:rsidRPr="007279E7" w:rsidRDefault="006874F1" w:rsidP="00F9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Канцеларијска </w:t>
            </w:r>
            <w:r w:rsidR="00F91FEB"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</w:rPr>
              <w:t>тастатура,</w:t>
            </w: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мембрана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F3AC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31</w:t>
            </w:r>
          </w:p>
        </w:tc>
      </w:tr>
      <w:tr w:rsidR="006874F1" w:rsidRPr="007279E7" w14:paraId="609E90F7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002B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3D72" w14:textId="021CE786" w:rsidR="006874F1" w:rsidRPr="007279E7" w:rsidRDefault="00F91FEB" w:rsidP="0068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</w:rPr>
              <w:t>Звучници</w:t>
            </w:r>
            <w:r w:rsidR="006874F1" w:rsidRPr="00727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37B8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9</w:t>
            </w:r>
          </w:p>
        </w:tc>
      </w:tr>
      <w:tr w:rsidR="006874F1" w:rsidRPr="007279E7" w14:paraId="3D868A4B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4F2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D1C6" w14:textId="77777777" w:rsidR="006874F1" w:rsidRPr="007279E7" w:rsidRDefault="006874F1" w:rsidP="0068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 xml:space="preserve">Борг веб камера CA02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6D87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10</w:t>
            </w:r>
          </w:p>
        </w:tc>
      </w:tr>
      <w:tr w:rsidR="006874F1" w:rsidRPr="007279E7" w14:paraId="1C1455AD" w14:textId="77777777" w:rsidTr="00117FAD">
        <w:trPr>
          <w:trHeight w:val="30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2633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7342" w14:textId="77777777" w:rsidR="006874F1" w:rsidRPr="007279E7" w:rsidRDefault="006874F1" w:rsidP="0068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Епсон пројектор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60DA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6874F1" w:rsidRPr="007279E7" w14:paraId="7074F366" w14:textId="77777777" w:rsidTr="005D614B"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9674" w14:textId="77777777" w:rsidR="006874F1" w:rsidRPr="007279E7" w:rsidRDefault="006874F1" w:rsidP="0011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BA5B" w14:textId="2E2F5CF4" w:rsidR="006874F1" w:rsidRPr="007279E7" w:rsidRDefault="006874F1" w:rsidP="00F91FE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Цанон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Имаге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Руннер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1435i 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мулти</w:t>
            </w:r>
            <w:r w:rsidRPr="008D38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F91FEB" w:rsidRPr="007279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функционални штампач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0335" w14:textId="77777777" w:rsidR="006874F1" w:rsidRPr="007279E7" w:rsidRDefault="006874F1" w:rsidP="00687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7279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</w:rPr>
              <w:t>1</w:t>
            </w:r>
          </w:p>
        </w:tc>
      </w:tr>
    </w:tbl>
    <w:p w14:paraId="35CC9EA5" w14:textId="77777777" w:rsidR="004D4C17" w:rsidRPr="007279E7" w:rsidRDefault="004D4C17" w:rsidP="00641B3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Постојећи просторни капацитети и капацитети у погледу опреме задовољавају прописане стандарде за реализацију наставе на студијском програму Рачунарство и информатика. У предстојећем планском периоду Универзитет ће радити на побољшању просторних и других техничких услова, у складу са годишњим плановима рада и развоја, све до постизања прописаног стандарда у цијелости.</w:t>
      </w:r>
    </w:p>
    <w:p w14:paraId="6E3AEDC9" w14:textId="77777777" w:rsidR="00F04CD7" w:rsidRDefault="00F04CD7" w:rsidP="00641B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B3CA2E" w14:textId="77777777" w:rsidR="00F04CD7" w:rsidRDefault="00F04CD7" w:rsidP="00641B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99AEA0" w14:textId="65C12BA2" w:rsidR="00F71752" w:rsidRPr="007279E7" w:rsidRDefault="00F71752" w:rsidP="00641B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Библиотечки ресурси, ресурси научних база</w:t>
      </w:r>
    </w:p>
    <w:p w14:paraId="66CCE360" w14:textId="77777777" w:rsidR="00F71752" w:rsidRPr="007279E7" w:rsidRDefault="00F71752" w:rsidP="00641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9E7">
        <w:rPr>
          <w:rFonts w:ascii="Times New Roman" w:hAnsi="Times New Roman" w:cs="Times New Roman"/>
          <w:sz w:val="24"/>
          <w:szCs w:val="24"/>
          <w:lang w:val="sr-Cyrl-CS"/>
        </w:rPr>
        <w:t>Универзитет перманентно врши реинвентуру библиотечких јединица (отпис и унос нових јединица) тако да бројчано стање није прецизно. Због другачијег груписања библиотечке грађе, могућа је непрецизност код података унесених у табелу (број књига, монографија, уџбеника) будући да није рађена детаљна подјела на тај начин.</w:t>
      </w:r>
    </w:p>
    <w:p w14:paraId="5D3BBD01" w14:textId="77777777" w:rsidR="00F71752" w:rsidRPr="007279E7" w:rsidRDefault="00F71752" w:rsidP="00641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79E7">
        <w:rPr>
          <w:rFonts w:ascii="Times New Roman" w:hAnsi="Times New Roman" w:cs="Times New Roman"/>
          <w:sz w:val="24"/>
          <w:szCs w:val="24"/>
          <w:lang w:val="sr-Cyrl-CS"/>
        </w:rPr>
        <w:t>Библиотечки фонд библиотеке НУБЛ-а је у пракси већи због великог броја појединих библотечких јединица.</w:t>
      </w:r>
    </w:p>
    <w:p w14:paraId="51F1DF4A" w14:textId="77777777" w:rsidR="00117FAD" w:rsidRPr="007279E7" w:rsidRDefault="00117FAD" w:rsidP="00641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22"/>
        <w:gridCol w:w="2582"/>
      </w:tblGrid>
      <w:tr w:rsidR="00B76FC8" w:rsidRPr="008D3809" w14:paraId="0A7B96D5" w14:textId="77777777" w:rsidTr="0076567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EEF7B0" w14:textId="77777777" w:rsidR="004D4C17" w:rsidRPr="007279E7" w:rsidRDefault="004D4C17" w:rsidP="00641B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БИБЛИОТЕЧКИ РЕСУРСИ</w:t>
            </w:r>
          </w:p>
          <w:p w14:paraId="3BA0C2F3" w14:textId="77777777" w:rsidR="004D4C17" w:rsidRPr="007279E7" w:rsidRDefault="004D4C17" w:rsidP="00641B3D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Збирни преглед броја библиотечких јединица у високошколској установи</w:t>
            </w:r>
          </w:p>
          <w:p w14:paraId="2163BDF8" w14:textId="77777777" w:rsidR="004D4C17" w:rsidRPr="007279E7" w:rsidRDefault="004D4C17" w:rsidP="00641B3D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76FC8" w:rsidRPr="007279E7" w14:paraId="4BE8790A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4A6" w14:textId="77777777" w:rsidR="004D4C17" w:rsidRPr="007279E7" w:rsidRDefault="004D4C17" w:rsidP="00641B3D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1C7" w14:textId="77777777" w:rsidR="004D4C17" w:rsidRPr="007279E7" w:rsidRDefault="004D4C17" w:rsidP="00641B3D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874" w14:textId="77777777" w:rsidR="004D4C17" w:rsidRPr="007279E7" w:rsidRDefault="004D4C17" w:rsidP="00641B3D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</w:tr>
      <w:tr w:rsidR="00B76FC8" w:rsidRPr="007279E7" w14:paraId="636737BE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8BD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17EA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Књиге на српском, босанском и хрватском језику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29E7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2530</w:t>
            </w:r>
          </w:p>
        </w:tc>
      </w:tr>
      <w:tr w:rsidR="00B76FC8" w:rsidRPr="007279E7" w14:paraId="3CE97ECC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00A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4534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Књиге на страним језицима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D739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76FC8" w:rsidRPr="007279E7" w14:paraId="627E5A4E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0D3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EAE4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Књиге на језицима националних мањина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F750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FC8" w:rsidRPr="007279E7" w14:paraId="2E498EF5" w14:textId="77777777" w:rsidTr="0076567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C8E" w14:textId="77777777" w:rsidR="004D4C17" w:rsidRPr="007279E7" w:rsidRDefault="004D4C17" w:rsidP="00F91FEB">
            <w:pPr>
              <w:spacing w:after="100" w:afterAutospacing="1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Укупно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D260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85</w:t>
            </w:r>
          </w:p>
        </w:tc>
      </w:tr>
      <w:tr w:rsidR="00B76FC8" w:rsidRPr="007279E7" w14:paraId="330B75D7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DED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ED87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Монографије на српском, босанском и хрватском језику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B7B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76FC8" w:rsidRPr="007279E7" w14:paraId="17BE5204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FDF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44E2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Монографије на страним језицима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15D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FC8" w:rsidRPr="007279E7" w14:paraId="24991748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623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FFE1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Монографије на језицима националних мањина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3B9F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FC8" w:rsidRPr="007279E7" w14:paraId="0C46DC37" w14:textId="77777777" w:rsidTr="0076567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FACD" w14:textId="77777777" w:rsidR="004D4C17" w:rsidRPr="007279E7" w:rsidRDefault="004D4C17" w:rsidP="00F91FEB">
            <w:pPr>
              <w:spacing w:after="100" w:afterAutospacing="1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558D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B76FC8" w:rsidRPr="007279E7" w14:paraId="3FFA1680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33B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F938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Часописи на српском, босанском и хрватском језику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852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  <w:tr w:rsidR="00B76FC8" w:rsidRPr="007279E7" w14:paraId="12955608" w14:textId="77777777" w:rsidTr="00765678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5A0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061D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Часописи на страним језицима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84A3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FC8" w:rsidRPr="007279E7" w14:paraId="61DB03F7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B34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2982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Часописи на језицима националних мањина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1BDF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FC8" w:rsidRPr="007279E7" w14:paraId="7EE3804D" w14:textId="77777777" w:rsidTr="0076567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164A" w14:textId="77777777" w:rsidR="004D4C17" w:rsidRPr="007279E7" w:rsidRDefault="004D4C17" w:rsidP="00F91FEB">
            <w:pPr>
              <w:spacing w:after="100" w:afterAutospacing="1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C84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</w:p>
        </w:tc>
      </w:tr>
      <w:tr w:rsidR="00B76FC8" w:rsidRPr="007279E7" w14:paraId="208003AA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DB2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4C18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Уџбеници  на српском, босанском и хрватском језику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F3E3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</w:tr>
      <w:tr w:rsidR="00B76FC8" w:rsidRPr="007279E7" w14:paraId="389B68B3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D13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435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џ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беници на страним језицима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3B15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B76FC8" w:rsidRPr="007279E7" w14:paraId="2D4AFF41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D39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0784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Уџбеници на језицима националних мањина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456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FC8" w:rsidRPr="007279E7" w14:paraId="5610422B" w14:textId="77777777" w:rsidTr="0076567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A4E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                                                                                                        Укупно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611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315</w:t>
            </w:r>
          </w:p>
        </w:tc>
      </w:tr>
      <w:tr w:rsidR="00B76FC8" w:rsidRPr="007279E7" w14:paraId="3454CD78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F89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489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Издања Независног универзитета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67A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152</w:t>
            </w:r>
          </w:p>
        </w:tc>
      </w:tr>
      <w:tr w:rsidR="00B76FC8" w:rsidRPr="007279E7" w14:paraId="7B075B52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272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EB1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Наставничко-истраживачка библиотека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686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152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B76FC8" w:rsidRPr="007279E7" w14:paraId="559C33B4" w14:textId="77777777" w:rsidTr="007656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547" w14:textId="77777777" w:rsidR="004D4C17" w:rsidRPr="007279E7" w:rsidRDefault="004D4C17" w:rsidP="00F73869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4D0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Електронска издања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83E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</w:rPr>
              <w:t>12 191</w:t>
            </w:r>
          </w:p>
        </w:tc>
      </w:tr>
      <w:tr w:rsidR="00B76FC8" w:rsidRPr="007279E7" w14:paraId="34C0754A" w14:textId="77777777" w:rsidTr="0076567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70C8" w14:textId="77777777" w:rsidR="004D4C17" w:rsidRPr="007279E7" w:rsidRDefault="004D4C17" w:rsidP="00F91FEB">
            <w:pPr>
              <w:spacing w:after="100" w:afterAutospacing="1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42D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13 87</w:t>
            </w: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B76FC8" w:rsidRPr="007279E7" w14:paraId="4AE6AFAD" w14:textId="77777777" w:rsidTr="0076567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3EF" w14:textId="77777777" w:rsidR="004D4C17" w:rsidRPr="007279E7" w:rsidRDefault="004D4C17" w:rsidP="00F91FEB">
            <w:pPr>
              <w:spacing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D4C17" w:rsidRPr="007279E7" w14:paraId="1AD7C9D7" w14:textId="77777777" w:rsidTr="0076567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5040" w14:textId="77777777" w:rsidR="004D4C17" w:rsidRPr="007279E7" w:rsidRDefault="004D4C17" w:rsidP="00F91FEB">
            <w:pPr>
              <w:spacing w:after="100" w:afterAutospacing="1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279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Укупно библиотечких јединица /наслова/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56E7" w14:textId="77777777" w:rsidR="004D4C17" w:rsidRPr="007279E7" w:rsidRDefault="004D4C17" w:rsidP="00F91FEB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16 94</w:t>
            </w:r>
            <w:r w:rsidRPr="0072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</w:p>
        </w:tc>
      </w:tr>
    </w:tbl>
    <w:p w14:paraId="3189EDB7" w14:textId="080A08C7" w:rsidR="004D4C17" w:rsidRPr="007279E7" w:rsidRDefault="004D4C1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3FF6980" w14:textId="714D6CE3" w:rsidR="007279E7" w:rsidRPr="007279E7" w:rsidRDefault="007279E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2573B7F" w14:textId="16534CBC" w:rsidR="007279E7" w:rsidRPr="007279E7" w:rsidRDefault="007279E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4B37B40" w14:textId="77777777" w:rsidR="007279E7" w:rsidRPr="007279E7" w:rsidRDefault="007279E7" w:rsidP="00641B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D4CB843" w14:textId="53912CD7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41183222"/>
      <w:r w:rsidRPr="007279E7">
        <w:rPr>
          <w:rFonts w:ascii="Times New Roman" w:hAnsi="Times New Roman" w:cs="Times New Roman"/>
          <w:color w:val="auto"/>
          <w:sz w:val="24"/>
          <w:szCs w:val="24"/>
        </w:rPr>
        <w:t>Управљање информацијама о студијским програмима</w:t>
      </w:r>
      <w:bookmarkEnd w:id="35"/>
    </w:p>
    <w:p w14:paraId="037208B4" w14:textId="77777777" w:rsidR="001D182D" w:rsidRPr="007279E7" w:rsidRDefault="001D182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4E6CB8F" w14:textId="04265E7A" w:rsidR="00035AD8" w:rsidRPr="007279E7" w:rsidRDefault="00035AD8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Транспарентност студијског програма је континуирана активност Факултета са циљем п</w:t>
      </w:r>
      <w:r w:rsidR="00DB5883" w:rsidRPr="007279E7">
        <w:rPr>
          <w:rFonts w:ascii="Times New Roman" w:hAnsi="Times New Roman" w:cs="Times New Roman"/>
          <w:sz w:val="24"/>
          <w:szCs w:val="24"/>
          <w:lang w:val="sr-Cyrl-RS"/>
        </w:rPr>
        <w:t>равовременог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пружања општих и појединачним информација студентима</w:t>
      </w:r>
      <w:r w:rsidR="00D01C27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а састоји се од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24026AD6" w14:textId="27564A30" w:rsidR="00832C64" w:rsidRPr="007279E7" w:rsidRDefault="00035AD8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Упознавања  </w:t>
      </w:r>
      <w:r w:rsidR="00832C64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студената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832C64" w:rsidRPr="007279E7">
        <w:rPr>
          <w:rFonts w:ascii="Times New Roman" w:hAnsi="Times New Roman" w:cs="Times New Roman"/>
          <w:sz w:val="24"/>
          <w:szCs w:val="24"/>
          <w:lang w:val="sr-Cyrl-RS"/>
        </w:rPr>
        <w:t>садржајем студијског прогама</w:t>
      </w:r>
    </w:p>
    <w:p w14:paraId="1505A55F" w14:textId="56CC8515" w:rsidR="00035AD8" w:rsidRPr="007279E7" w:rsidRDefault="00832C64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Упознавања студената са </w:t>
      </w:r>
      <w:r w:rsidR="00035AD8" w:rsidRPr="007279E7">
        <w:rPr>
          <w:rFonts w:ascii="Times New Roman" w:hAnsi="Times New Roman" w:cs="Times New Roman"/>
          <w:sz w:val="24"/>
          <w:szCs w:val="24"/>
          <w:lang w:val="sr-Cyrl-RS"/>
        </w:rPr>
        <w:t>измјенама и допунама студијских програма</w:t>
      </w:r>
    </w:p>
    <w:p w14:paraId="462F2CDC" w14:textId="5CF4E58C" w:rsidR="00832C64" w:rsidRPr="007279E7" w:rsidRDefault="00832C64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Упознавања студената са иновацијама студијских прогама по основу учешћа Факултета у различитим пројекатима те могућности учешћа студената </w:t>
      </w:r>
      <w:r w:rsidR="00D01C27" w:rsidRPr="007279E7">
        <w:rPr>
          <w:rFonts w:ascii="Times New Roman" w:hAnsi="Times New Roman" w:cs="Times New Roman"/>
          <w:sz w:val="24"/>
          <w:szCs w:val="24"/>
          <w:lang w:val="sr-Cyrl-RS"/>
        </w:rPr>
        <w:t>у пројектима</w:t>
      </w:r>
    </w:p>
    <w:p w14:paraId="07F8C4C3" w14:textId="1294C666" w:rsidR="00832C64" w:rsidRPr="007279E7" w:rsidRDefault="00832C64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</w:t>
      </w:r>
    </w:p>
    <w:p w14:paraId="226D3CBE" w14:textId="3C02239C" w:rsidR="00D01C27" w:rsidRPr="007279E7" w:rsidRDefault="00D01C27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Упознавања студената са менторским радом наставника</w:t>
      </w:r>
    </w:p>
    <w:p w14:paraId="6236573C" w14:textId="7C9F0888" w:rsidR="00832C64" w:rsidRPr="007279E7" w:rsidRDefault="00832C64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Упознавања са терминима наставе, консултација и вјежби као и доступности литературе</w:t>
      </w:r>
    </w:p>
    <w:p w14:paraId="6151F5D8" w14:textId="704E36C9" w:rsidR="00DB5883" w:rsidRPr="007279E7" w:rsidRDefault="00035AD8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Јасног упознавања студената са предистпитним и другим обавезама</w:t>
      </w:r>
      <w:r w:rsidR="00832C64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и роковима за реализацију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C94494" w14:textId="1847E493" w:rsidR="00035AD8" w:rsidRPr="007279E7" w:rsidRDefault="00035AD8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Упознавања са бодовима које студенту стичу након савладавања предмета, семестра и академске године</w:t>
      </w:r>
    </w:p>
    <w:p w14:paraId="09E8F230" w14:textId="06BC376C" w:rsidR="00035AD8" w:rsidRPr="007279E7" w:rsidRDefault="00035AD8" w:rsidP="00F73869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Начином </w:t>
      </w:r>
      <w:r w:rsidR="00832C64" w:rsidRPr="007279E7">
        <w:rPr>
          <w:rFonts w:ascii="Times New Roman" w:hAnsi="Times New Roman" w:cs="Times New Roman"/>
          <w:sz w:val="24"/>
          <w:szCs w:val="24"/>
          <w:lang w:val="sr-Cyrl-RS"/>
        </w:rPr>
        <w:t>вредновања знања, стицања бодова и оцјењивања и терминима парцијалних и финалних провјера знања</w:t>
      </w:r>
    </w:p>
    <w:p w14:paraId="633A12ED" w14:textId="5F6C0BBF" w:rsidR="00832C64" w:rsidRPr="007279E7" w:rsidRDefault="00832C64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Ради постизања наведених циљева студијски програми су доступни на веб страници Универзитета, на огласној плочи, страници даљинског учења, друштваним мкрежама,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електронском поштом и другим доступним каналима комуникације. Факултет активно користи друштвене мреже путем којих информише студенте.</w:t>
      </w:r>
    </w:p>
    <w:p w14:paraId="248715FE" w14:textId="4CB07DBD" w:rsidR="00D01C27" w:rsidRPr="007279E7" w:rsidRDefault="00D01C27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на првом </w:t>
      </w:r>
      <w:r w:rsidR="00835912" w:rsidRPr="007279E7">
        <w:rPr>
          <w:rFonts w:ascii="Times New Roman" w:hAnsi="Times New Roman" w:cs="Times New Roman"/>
          <w:sz w:val="24"/>
          <w:szCs w:val="24"/>
          <w:lang w:val="sr-Cyrl-RS"/>
        </w:rPr>
        <w:t>предавању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у семестру добијају силабус предмета од одговорног наставника који им детаљно појашњава све горе наведене ставке. Одговорни наставници обаве оријентацију у вези са </w:t>
      </w:r>
      <w:r w:rsidR="00835912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предметом и учешћем предмета у наставном плану, међусобној условљености предмета и сл. </w:t>
      </w:r>
    </w:p>
    <w:p w14:paraId="595319DF" w14:textId="6D29C5E6" w:rsidR="00835912" w:rsidRPr="007279E7" w:rsidRDefault="0083591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На почетку семестра студенти су информисани о могућно</w:t>
      </w:r>
      <w:r w:rsidR="00E30D8E" w:rsidRPr="007279E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ти да бирају изборни предмет са листе изборних предмета и жељени предмет уносе у семестрали лист приликом уписа семестра. Изборни предмети су саставни дио наставног плана и доступни су на огласној табли </w:t>
      </w:r>
      <w:r w:rsidR="00E30D8E" w:rsidRPr="007279E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акултета као и на веб страниц</w:t>
      </w:r>
      <w:r w:rsidR="00E30D8E" w:rsidRPr="007279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D8E" w:rsidRPr="007279E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акултета. Путем друштвених мрежа студенти су такође обавијештени о потреби да бирају изборне предмете са листе изборних предмета.</w:t>
      </w:r>
    </w:p>
    <w:p w14:paraId="10935172" w14:textId="396152B7" w:rsidR="00835912" w:rsidRPr="007279E7" w:rsidRDefault="0083591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Студентски представници у Сенату, ННВ-у као и унутар Студентског парламента се правовремено информишу о свим евентуалним измјенама и учествују</w:t>
      </w:r>
      <w:r w:rsidR="00777157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 расправама и изјашњавању по приједлозима.</w:t>
      </w:r>
    </w:p>
    <w:p w14:paraId="7C1D7A0C" w14:textId="0E576BEA" w:rsidR="009555A8" w:rsidRPr="007279E7" w:rsidRDefault="009555A8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Факултет редовно прикупља податке о различитим аспектима студиј</w:t>
      </w:r>
      <w:r w:rsidR="00E30D8E" w:rsidRPr="007279E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ког програма</w:t>
      </w:r>
    </w:p>
    <w:p w14:paraId="4623DB3C" w14:textId="42331EF7" w:rsidR="009555A8" w:rsidRPr="007279E7" w:rsidRDefault="009555A8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sz w:val="24"/>
          <w:szCs w:val="24"/>
          <w:lang w:val="sr-Cyrl-RS"/>
        </w:rPr>
        <w:t>Успостављен је систем редовног прикупљања и обраде информација о студирањ</w:t>
      </w:r>
      <w:r w:rsidR="00CB4477" w:rsidRPr="007279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>, проценту студената каоји су напустили студиј, задовољству студената и др. Ове информације се користе за унапређење студијског програма. Континуирано се води евиденција академског особља са аспектом на старосну структрур, пол, облик ангажовања и др.</w:t>
      </w:r>
    </w:p>
    <w:p w14:paraId="3E37BD93" w14:textId="77777777" w:rsidR="007279E7" w:rsidRPr="007279E7" w:rsidRDefault="007279E7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45B881" w14:textId="2B7D250D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41183223"/>
      <w:r w:rsidRPr="007279E7">
        <w:rPr>
          <w:rFonts w:ascii="Times New Roman" w:hAnsi="Times New Roman" w:cs="Times New Roman"/>
          <w:color w:val="auto"/>
          <w:sz w:val="24"/>
          <w:szCs w:val="24"/>
        </w:rPr>
        <w:t>Информисање јавности о студијским програмима</w:t>
      </w:r>
      <w:bookmarkEnd w:id="36"/>
    </w:p>
    <w:p w14:paraId="7B0321C3" w14:textId="77777777" w:rsidR="007279E7" w:rsidRPr="007279E7" w:rsidRDefault="007279E7" w:rsidP="007279E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1A42DC59" w14:textId="30058D4E" w:rsidR="00766DD9" w:rsidRPr="007279E7" w:rsidRDefault="00835912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Јавност има увид у студијски програм који је јавно доступан на веб страници Универзитета. Наставни план обухвата основне информације  студијском програму, док доступност силабуса даје додатне поједине информације о предметима који су дио студијског програма. Факултет користи јавни медијски простор и наставници користе прилику да говоре о раду </w:t>
      </w:r>
      <w:r w:rsidR="00E30D8E" w:rsidRPr="007279E7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акултета те о студијском програму. Наставници такође учествују у креирању јавно</w:t>
      </w:r>
      <w:r w:rsidR="00E30D8E" w:rsidRPr="007279E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мњења тако што коментаришу и говоре о појавама и посљедицама у економији а које с</w:t>
      </w:r>
      <w:r w:rsidR="00CB4477" w:rsidRPr="007279E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тичу њивових ужих научних области. Већина наставника су чланови одређених асоцијација и друштава и користе прилику да </w:t>
      </w:r>
      <w:r w:rsidR="00E30D8E" w:rsidRPr="007279E7">
        <w:rPr>
          <w:rFonts w:ascii="Times New Roman" w:hAnsi="Times New Roman" w:cs="Times New Roman"/>
          <w:sz w:val="24"/>
          <w:szCs w:val="24"/>
          <w:lang w:val="ru-RU"/>
        </w:rPr>
        <w:t>о појединостима студијских прог</w:t>
      </w:r>
      <w:r w:rsidR="00800BEC" w:rsidRPr="007279E7">
        <w:rPr>
          <w:rFonts w:ascii="Times New Roman" w:hAnsi="Times New Roman" w:cs="Times New Roman"/>
          <w:sz w:val="24"/>
          <w:szCs w:val="24"/>
          <w:lang w:val="ru-RU"/>
        </w:rPr>
        <w:t>рама дијеле информације у непосредном окружењу. Приликом развоја студијског програма осранизује се јавна расправа напосредног окружења чије сугестије се озбиљно разматрају и инкорпорирају у наставни план студијског програма.</w:t>
      </w:r>
    </w:p>
    <w:p w14:paraId="1292DD47" w14:textId="67E7955D" w:rsidR="00E518EE" w:rsidRPr="007279E7" w:rsidRDefault="00E518EE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НУБЛ има израђене комуникационе стратегије</w:t>
      </w:r>
      <w:r w:rsidR="00CB4477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и правилник: </w:t>
      </w:r>
    </w:p>
    <w:p w14:paraId="273FA3B8" w14:textId="0963F304" w:rsidR="00E518EE" w:rsidRPr="007279E7" w:rsidRDefault="00E518EE" w:rsidP="00F73869">
      <w:pPr>
        <w:pStyle w:val="ListParagraph"/>
        <w:numPr>
          <w:ilvl w:val="0"/>
          <w:numId w:val="38"/>
        </w:numP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fldChar w:fldCharType="begin"/>
      </w:r>
      <w:r w:rsidR="00580CF4" w:rsidRPr="007279E7">
        <w:rPr>
          <w:rFonts w:ascii="Times New Roman" w:hAnsi="Times New Roman" w:cs="Times New Roman"/>
          <w:sz w:val="24"/>
          <w:szCs w:val="24"/>
          <w:lang w:val="sr-Cyrl-BA"/>
        </w:rPr>
        <w:instrText>HYPERLINK "C:\\Users\\User\\Ekologija RA\\Prateci dokumenti\\Formalno-pravna akta\\Komunikativna strategija Univerziteta.pdf"</w:instrTex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fldChar w:fldCharType="separate"/>
      </w:r>
      <w:r w:rsidRPr="007279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BA"/>
        </w:rPr>
        <w:t>Комуникативна стратегија односа с јавношћу</w:t>
      </w:r>
    </w:p>
    <w:p w14:paraId="4F7882CA" w14:textId="437C4112" w:rsidR="00E518EE" w:rsidRPr="007279E7" w:rsidRDefault="00E518EE" w:rsidP="00F73869">
      <w:pPr>
        <w:pStyle w:val="ListParagraph"/>
        <w:numPr>
          <w:ilvl w:val="0"/>
          <w:numId w:val="38"/>
        </w:numP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lastRenderedPageBreak/>
        <w:fldChar w:fldCharType="end"/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fldChar w:fldCharType="begin"/>
      </w:r>
      <w:r w:rsidR="00580CF4" w:rsidRPr="007279E7">
        <w:rPr>
          <w:rFonts w:ascii="Times New Roman" w:hAnsi="Times New Roman" w:cs="Times New Roman"/>
          <w:sz w:val="24"/>
          <w:szCs w:val="24"/>
          <w:lang w:val="sr-Cyrl-BA"/>
        </w:rPr>
        <w:instrText>HYPERLINK "C:\\Users\\User\\Ekologija RA\\Prateci dokumenti\\Formalno-pravna akta\\Pravilnik o odnosima s javnoscu.pdf"</w:instrTex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fldChar w:fldCharType="separate"/>
      </w:r>
      <w:r w:rsidRPr="007279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BA"/>
        </w:rPr>
        <w:t>Правилник о односима с јавношћу Независног универзитета Бања Лука</w:t>
      </w:r>
    </w:p>
    <w:p w14:paraId="278396EF" w14:textId="6D2E6D4F" w:rsidR="00893118" w:rsidRPr="007279E7" w:rsidRDefault="00E518EE" w:rsidP="00F73869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fldChar w:fldCharType="end"/>
      </w:r>
      <w:r w:rsidR="00893118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Одговорни наставници на предметима студијског прогама су познати јавности кроз доступност биорафија и научних картона наставног и сарадничког особља. </w:t>
      </w:r>
    </w:p>
    <w:p w14:paraId="2BF937D8" w14:textId="509C4462" w:rsidR="00893118" w:rsidRPr="007279E7" w:rsidRDefault="00893118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Сви поменути садржаји доступни на </w:t>
      </w:r>
      <w:r w:rsidR="00CB4477" w:rsidRPr="007279E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еб сајту се могу прочитати на енгл</w:t>
      </w:r>
      <w:r w:rsidR="00CB4477" w:rsidRPr="007279E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ском и другим језицима кроз техничке могућности сајта.</w:t>
      </w:r>
    </w:p>
    <w:p w14:paraId="15F84935" w14:textId="77777777" w:rsidR="002357E6" w:rsidRPr="007279E7" w:rsidRDefault="002357E6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167C06" w14:textId="217F6DF0" w:rsidR="001D182D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37" w:name="_Toc141183224"/>
      <w:r w:rsidRPr="007279E7">
        <w:rPr>
          <w:rFonts w:ascii="Times New Roman" w:hAnsi="Times New Roman" w:cs="Times New Roman"/>
          <w:color w:val="auto"/>
          <w:sz w:val="24"/>
          <w:szCs w:val="24"/>
        </w:rPr>
        <w:t>Континуирано праћење, периодична евалуација и ревизија студијск</w:t>
      </w:r>
      <w:r w:rsidR="00A77953" w:rsidRPr="007279E7">
        <w:rPr>
          <w:rFonts w:ascii="Times New Roman" w:hAnsi="Times New Roman" w:cs="Times New Roman"/>
          <w:color w:val="auto"/>
          <w:sz w:val="24"/>
          <w:szCs w:val="24"/>
        </w:rPr>
        <w:t>ог</w:t>
      </w:r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програма</w:t>
      </w:r>
      <w:r w:rsidR="00A77953"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I циклуса </w:t>
      </w:r>
      <w:bookmarkEnd w:id="37"/>
      <w:r w:rsidR="00031C4A" w:rsidRPr="007279E7">
        <w:rPr>
          <w:rFonts w:ascii="Times New Roman" w:hAnsi="Times New Roman" w:cs="Times New Roman"/>
          <w:color w:val="auto"/>
          <w:sz w:val="24"/>
          <w:szCs w:val="24"/>
        </w:rPr>
        <w:t>Рачуноводство и ревизија</w:t>
      </w:r>
      <w:r w:rsidR="002357E6"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180 ECTS</w:t>
      </w:r>
    </w:p>
    <w:p w14:paraId="19B0333A" w14:textId="77777777" w:rsidR="002357E6" w:rsidRPr="007279E7" w:rsidRDefault="002357E6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C2F8D9" w14:textId="131184A6" w:rsidR="00CB4477" w:rsidRPr="007279E7" w:rsidRDefault="00556EF6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Постоје </w:t>
      </w:r>
      <w:r w:rsidR="00231590" w:rsidRPr="007279E7">
        <w:rPr>
          <w:rFonts w:ascii="Times New Roman" w:hAnsi="Times New Roman" w:cs="Times New Roman"/>
          <w:sz w:val="24"/>
          <w:szCs w:val="24"/>
          <w:lang w:val="sr-Cyrl-BA"/>
        </w:rPr>
        <w:t>успостављене процедуре за континуирано праћење, периодичну евалуацију и ревизију студијск</w:t>
      </w:r>
      <w:r w:rsidR="00A77953" w:rsidRPr="007279E7">
        <w:rPr>
          <w:rFonts w:ascii="Times New Roman" w:hAnsi="Times New Roman" w:cs="Times New Roman"/>
          <w:sz w:val="24"/>
          <w:szCs w:val="24"/>
          <w:lang w:val="sr-Cyrl-BA"/>
        </w:rPr>
        <w:t>ог</w:t>
      </w:r>
      <w:r w:rsidR="00231590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програма. Усвојен је </w:t>
      </w:r>
      <w:hyperlink r:id="rId18" w:history="1">
        <w:r w:rsidRPr="007279E7">
          <w:rPr>
            <w:rStyle w:val="Hyperlink"/>
            <w:rFonts w:ascii="Times New Roman" w:hAnsi="Times New Roman" w:cs="Times New Roman"/>
            <w:bCs/>
            <w:noProof/>
            <w:color w:val="auto"/>
            <w:sz w:val="24"/>
            <w:szCs w:val="24"/>
            <w:u w:val="none"/>
            <w:lang w:val="sr-Cyrl-BA"/>
          </w:rPr>
          <w:t>Правилник о доношењу и евалуацији студијских програма</w:t>
        </w:r>
        <w:r w:rsidR="00A77953" w:rsidRPr="007279E7">
          <w:rPr>
            <w:rStyle w:val="Hyperlink"/>
            <w:rFonts w:ascii="Times New Roman" w:hAnsi="Times New Roman" w:cs="Times New Roman"/>
            <w:bCs/>
            <w:noProof/>
            <w:color w:val="auto"/>
            <w:sz w:val="24"/>
            <w:szCs w:val="24"/>
            <w:u w:val="none"/>
            <w:lang w:val="sr-Cyrl-BA"/>
          </w:rPr>
          <w:t xml:space="preserve">, као и </w:t>
        </w:r>
      </w:hyperlink>
      <w:r w:rsidR="00A77953" w:rsidRPr="007279E7">
        <w:rPr>
          <w:rFonts w:ascii="Times New Roman" w:hAnsi="Times New Roman" w:cs="Times New Roman"/>
          <w:sz w:val="24"/>
          <w:szCs w:val="24"/>
          <w:lang w:val="sr-Cyrl-BA"/>
        </w:rPr>
        <w:t>Правилник о обезбјеђењу и унапређењу квалитета.</w:t>
      </w:r>
      <w:r w:rsidR="00A77953"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Ов</w:t>
      </w:r>
      <w:r w:rsidR="00A77953"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и правилници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такође дефинише учешће студената и заинтересованих страна.</w:t>
      </w:r>
    </w:p>
    <w:p w14:paraId="294C6FF3" w14:textId="77777777" w:rsidR="00CB4477" w:rsidRPr="007279E7" w:rsidRDefault="00CB4477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4376388" w14:textId="2AC29341" w:rsidR="001057EF" w:rsidRPr="007279E7" w:rsidRDefault="00231590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Студенти периодично оцјењују рад наставног особља, административног особља и</w:t>
      </w:r>
      <w:r w:rsidR="00CB4477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повратне информације се користе за ино</w:t>
      </w:r>
      <w:r w:rsidR="00893C6F" w:rsidRPr="007279E7">
        <w:rPr>
          <w:rFonts w:ascii="Times New Roman" w:hAnsi="Times New Roman" w:cs="Times New Roman"/>
          <w:sz w:val="24"/>
          <w:szCs w:val="24"/>
          <w:lang w:val="sr-Cyrl-BA"/>
        </w:rPr>
        <w:t>вирање и унапређење студијског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програма.</w:t>
      </w:r>
      <w:r w:rsidR="00CB4477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56EF6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Студентима је </w:t>
      </w:r>
      <w:r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>путем</w:t>
      </w:r>
      <w:r w:rsidR="00893C6F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оцењивања студијског</w:t>
      </w:r>
      <w:r w:rsidR="00556EF6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програма омогућено учешће у </w:t>
      </w:r>
      <w:r w:rsidR="00893C6F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>осигуравању квалитета студијског</w:t>
      </w:r>
      <w:r w:rsidR="00556EF6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програма. П</w:t>
      </w:r>
      <w:r w:rsidR="00893C6F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>ресјек стања квалитета студијског</w:t>
      </w:r>
      <w:r w:rsidR="00556EF6" w:rsidRPr="007279E7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програма добија се на основу података прикупљених путем писаних упитника од стране студената које се спроводе </w:t>
      </w:r>
      <w:r w:rsidR="00556EF6"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периодично.</w:t>
      </w:r>
      <w:r w:rsidR="001057EF"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</w:p>
    <w:p w14:paraId="61961610" w14:textId="311B100F" w:rsidR="001057EF" w:rsidRPr="007279E7" w:rsidRDefault="00231590" w:rsidP="00641B3D">
      <w:pPr>
        <w:tabs>
          <w:tab w:val="num" w:pos="51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Евалуирају се квалитет, савременост </w:t>
      </w:r>
      <w:r w:rsidR="00E30D8E"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и доступност ресурса за извођењ</w:t>
      </w:r>
      <w:r w:rsidR="00893C6F"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е студијског</w:t>
      </w:r>
      <w:r w:rsidRPr="007279E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прогама</w:t>
      </w:r>
      <w:r w:rsidR="001057EF" w:rsidRPr="007279E7">
        <w:rPr>
          <w:rFonts w:ascii="Times New Roman" w:hAnsi="Times New Roman" w:cs="Times New Roman"/>
          <w:bCs/>
          <w:noProof/>
          <w:sz w:val="24"/>
          <w:szCs w:val="24"/>
          <w:lang w:val="sr-Latn-RS"/>
        </w:rPr>
        <w:t xml:space="preserve"> </w:t>
      </w:r>
      <w:r w:rsidR="001057EF"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путем анкетирања наставног особља, административног особља и ст</w:t>
      </w:r>
      <w:r w:rsidR="00A77953"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удената. При ревизији студијског</w:t>
      </w:r>
      <w:r w:rsidR="001057EF"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програма, прате се најновија научна, односно стручна сазнања из одговарајуће области. </w:t>
      </w:r>
    </w:p>
    <w:p w14:paraId="6B31B808" w14:textId="61A1C5C4" w:rsidR="001057EF" w:rsidRPr="007279E7" w:rsidRDefault="001057EF" w:rsidP="00641B3D">
      <w:pPr>
        <w:tabs>
          <w:tab w:val="num" w:pos="51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При ревизији </w:t>
      </w:r>
      <w:r w:rsidR="00893C6F"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студијског</w:t>
      </w:r>
      <w:r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програма, води се рачуна о усклађености са најмање три акредитована програма иностраних високошколских установа, од којих су најмање два из високошколских установа европског простора високог образовања. </w:t>
      </w:r>
    </w:p>
    <w:p w14:paraId="15678360" w14:textId="73958473" w:rsidR="001057EF" w:rsidRPr="007279E7" w:rsidRDefault="001057EF" w:rsidP="00641B3D">
      <w:pPr>
        <w:tabs>
          <w:tab w:val="num" w:pos="51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7279E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Студијски програм је формално и структурно усклађен са утврђеним предметно-специфичним стандардима за акредитацију, уколико такви стандарди постоје.  Високошколска установа прати и евалуира реализацију акционог плана интернационализације, користи од потписаних уговора о међународној сарадњи, проценат страних студената и професора, број и напредак својих студената на стручном усавршавању у иностранству, запошљавање дипломираних студената и друго. На нивоу студијског програма израђује се извјештај о самовредновању најмање сваке двије године. </w:t>
      </w:r>
    </w:p>
    <w:p w14:paraId="479BF6E6" w14:textId="5107A5E1" w:rsidR="00556EF6" w:rsidRPr="007279E7" w:rsidRDefault="00556EF6" w:rsidP="00641B3D">
      <w:pPr>
        <w:tabs>
          <w:tab w:val="num" w:pos="51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noProof/>
          <w:kern w:val="36"/>
          <w:sz w:val="24"/>
          <w:szCs w:val="24"/>
          <w:shd w:val="clear" w:color="auto" w:fill="FFFFFF"/>
          <w:lang w:val="sr-Cyrl-BA"/>
        </w:rPr>
      </w:pPr>
      <w:r w:rsidRPr="007279E7">
        <w:rPr>
          <w:rFonts w:ascii="Times New Roman" w:hAnsi="Times New Roman" w:cs="Times New Roman"/>
          <w:noProof/>
          <w:kern w:val="36"/>
          <w:sz w:val="24"/>
          <w:szCs w:val="24"/>
          <w:shd w:val="clear" w:color="auto" w:fill="FFFFFF"/>
          <w:lang w:val="sr-Cyrl-BA"/>
        </w:rPr>
        <w:t xml:space="preserve">Програмски гледано, студијски програми су усаглашени са сличним студијским програмима иностраних високошколских установа, од којих је довољан број од 3 </w:t>
      </w:r>
      <w:r w:rsidRPr="007279E7">
        <w:rPr>
          <w:rFonts w:ascii="Times New Roman" w:hAnsi="Times New Roman" w:cs="Times New Roman"/>
          <w:noProof/>
          <w:kern w:val="36"/>
          <w:sz w:val="24"/>
          <w:szCs w:val="24"/>
          <w:shd w:val="clear" w:color="auto" w:fill="FFFFFF"/>
          <w:lang w:val="sr-Cyrl-BA"/>
        </w:rPr>
        <w:lastRenderedPageBreak/>
        <w:t xml:space="preserve">институције са европског образовног простора, што је један од услова приликом лиценцирања </w:t>
      </w:r>
      <w:r w:rsidR="00893C6F" w:rsidRPr="007279E7">
        <w:rPr>
          <w:rFonts w:ascii="Times New Roman" w:hAnsi="Times New Roman" w:cs="Times New Roman"/>
          <w:noProof/>
          <w:kern w:val="36"/>
          <w:sz w:val="24"/>
          <w:szCs w:val="24"/>
          <w:shd w:val="clear" w:color="auto" w:fill="FFFFFF"/>
          <w:lang w:val="sr-Cyrl-BA"/>
        </w:rPr>
        <w:t>студијског</w:t>
      </w:r>
      <w:r w:rsidRPr="007279E7">
        <w:rPr>
          <w:rFonts w:ascii="Times New Roman" w:hAnsi="Times New Roman" w:cs="Times New Roman"/>
          <w:noProof/>
          <w:kern w:val="36"/>
          <w:sz w:val="24"/>
          <w:szCs w:val="24"/>
          <w:shd w:val="clear" w:color="auto" w:fill="FFFFFF"/>
          <w:lang w:val="sr-Cyrl-BA"/>
        </w:rPr>
        <w:t xml:space="preserve"> програма.</w:t>
      </w:r>
    </w:p>
    <w:p w14:paraId="0206369C" w14:textId="4692B4D7" w:rsidR="00556EF6" w:rsidRPr="007279E7" w:rsidRDefault="00556EF6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Постоје документи којима се доказује примјена процедура и учешћа студената (а</w:t>
      </w:r>
      <w:hyperlink r:id="rId19" w:history="1">
        <w:r w:rsidRPr="007279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BA"/>
          </w:rPr>
          <w:t>нкета за евалуацију студијског програма</w:t>
        </w:r>
      </w:hyperlink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). Један од основних критерија приликом лиценцирања нових </w:t>
      </w:r>
      <w:r w:rsidR="00893C6F" w:rsidRPr="007279E7">
        <w:rPr>
          <w:rFonts w:ascii="Times New Roman" w:hAnsi="Times New Roman" w:cs="Times New Roman"/>
          <w:sz w:val="24"/>
          <w:szCs w:val="24"/>
          <w:lang w:val="sr-Cyrl-BA"/>
        </w:rPr>
        <w:t>студијског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је</w:t>
      </w:r>
      <w:r w:rsidRPr="007279E7">
        <w:rPr>
          <w:rFonts w:ascii="Times New Roman" w:eastAsia="Times New Roman" w:hAnsi="Times New Roman" w:cs="Times New Roman"/>
          <w:b/>
          <w:sz w:val="24"/>
          <w:szCs w:val="24"/>
          <w:lang w:val="sr-Cyrl-BA" w:eastAsia="en-US" w:bidi="my-MM"/>
        </w:rPr>
        <w:t xml:space="preserve"> </w:t>
      </w:r>
      <w:r w:rsidRPr="007279E7">
        <w:rPr>
          <w:rFonts w:ascii="Times New Roman" w:hAnsi="Times New Roman" w:cs="Times New Roman"/>
          <w:bCs/>
          <w:sz w:val="24"/>
          <w:szCs w:val="24"/>
          <w:lang w:val="sr-Cyrl-BA"/>
        </w:rPr>
        <w:t>доказ</w:t>
      </w: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7279E7">
        <w:rPr>
          <w:rFonts w:ascii="Times New Roman" w:hAnsi="Times New Roman" w:cs="Times New Roman"/>
          <w:bCs/>
          <w:sz w:val="24"/>
          <w:szCs w:val="24"/>
          <w:lang w:val="sr-Cyrl-BA"/>
        </w:rPr>
        <w:t>о</w:t>
      </w: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подударности у већем дијелу са студијским програмима из најмање три лиценциране и акредитоване високошколске установе из земаља потписница болоњске декларације, при чему се обавезно води рачуна о потребама локалног, регионалног и глобалног тржишта рада. </w:t>
      </w:r>
    </w:p>
    <w:p w14:paraId="62167478" w14:textId="77777777" w:rsidR="00A77953" w:rsidRPr="007279E7" w:rsidRDefault="00A77953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216DB8A" w14:textId="2CCB11E0" w:rsidR="00A77953" w:rsidRPr="007279E7" w:rsidRDefault="00A77953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Периодична евалуација и ревизија </w:t>
      </w:r>
      <w:r w:rsidR="00893C6F" w:rsidRPr="007279E7">
        <w:rPr>
          <w:rFonts w:ascii="Times New Roman" w:hAnsi="Times New Roman" w:cs="Times New Roman"/>
          <w:sz w:val="24"/>
          <w:szCs w:val="24"/>
          <w:lang w:val="sr-Cyrl-BA"/>
        </w:rPr>
        <w:t>студијског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програма, а тиме и овога који је предмет самоевалуације, обухвата следеће активности:</w:t>
      </w:r>
    </w:p>
    <w:p w14:paraId="7F78FA26" w14:textId="77777777" w:rsidR="00D75429" w:rsidRPr="007279E7" w:rsidRDefault="00D75429" w:rsidP="00641B3D">
      <w:pPr>
        <w:pStyle w:val="TabelaStavk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8932D98" w14:textId="540EE0A6" w:rsidR="002357E6" w:rsidRPr="007279E7" w:rsidRDefault="002357E6" w:rsidP="00F73869">
      <w:pPr>
        <w:pStyle w:val="TabelaStavka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Интерна евалуација</w:t>
      </w:r>
      <w:r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Ово су процеси које спроводи сам факултет или универзитет. Укључује интервјуе са професорима и студентима, рецензију наставних планова и програма, процјену утицаја нових технологија на наставу итд.</w:t>
      </w:r>
    </w:p>
    <w:p w14:paraId="59CD1CD7" w14:textId="77777777" w:rsidR="002357E6" w:rsidRPr="007279E7" w:rsidRDefault="002357E6" w:rsidP="002357E6">
      <w:pPr>
        <w:pStyle w:val="TabelaStavk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1F0FB8C" w14:textId="00AD48FE" w:rsidR="00A77953" w:rsidRPr="007279E7" w:rsidRDefault="00A77953" w:rsidP="00F73869">
      <w:pPr>
        <w:pStyle w:val="TabelaStavka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Екстерна евалуација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Укључује преглед и процјену студијског програма од стране спољних експерата или агенција. Они анализирају квалитет програма, усаглашеност са стандардима и циљевима, релевантност у односу на захтјеве тржишта рада и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тд.</w:t>
      </w:r>
    </w:p>
    <w:p w14:paraId="12D5EDA0" w14:textId="77777777" w:rsidR="002357E6" w:rsidRPr="007279E7" w:rsidRDefault="002357E6" w:rsidP="002357E6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A16F3DD" w14:textId="0D206154" w:rsidR="0082185C" w:rsidRPr="007279E7" w:rsidRDefault="00A77953" w:rsidP="00F73869">
      <w:pPr>
        <w:pStyle w:val="TabelaStavka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Ревизија </w:t>
      </w:r>
      <w:r w:rsidR="00893C6F" w:rsidRPr="007279E7">
        <w:rPr>
          <w:rFonts w:ascii="Times New Roman" w:hAnsi="Times New Roman" w:cs="Times New Roman"/>
          <w:sz w:val="24"/>
          <w:szCs w:val="24"/>
          <w:lang w:val="sr-Cyrl-BA"/>
        </w:rPr>
        <w:t>студијског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На основу добијених резултата и препорука из евалуација, студијски програм се ревидира и мијења, што подразумијева промјене у наставним плановима, увођење нових курсева или актуализацију садржаја у скл</w:t>
      </w:r>
      <w:r w:rsidR="00893C6F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аду са најновијим трендовима из области 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>mенаџментa</w:t>
      </w:r>
    </w:p>
    <w:p w14:paraId="77F5E791" w14:textId="77777777" w:rsidR="002357E6" w:rsidRPr="007279E7" w:rsidRDefault="002357E6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A365E11" w14:textId="29C9CCDD" w:rsidR="002357E6" w:rsidRPr="007279E7" w:rsidRDefault="0082185C" w:rsidP="002357E6">
      <w:pPr>
        <w:pStyle w:val="TabelaStavka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Latn-CS"/>
        </w:rPr>
        <w:t>Студијски програм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C4A" w:rsidRPr="007279E7">
        <w:rPr>
          <w:rFonts w:ascii="Times New Roman" w:hAnsi="Times New Roman" w:cs="Times New Roman"/>
          <w:sz w:val="24"/>
          <w:szCs w:val="24"/>
          <w:lang w:val="sr-Cyrl-RS"/>
        </w:rPr>
        <w:t>рачуноводство</w:t>
      </w:r>
      <w:r w:rsidR="00F04CD7">
        <w:rPr>
          <w:rFonts w:ascii="Times New Roman" w:hAnsi="Times New Roman" w:cs="Times New Roman"/>
          <w:sz w:val="24"/>
          <w:szCs w:val="24"/>
          <w:lang w:val="sr-Latn-RS"/>
        </w:rPr>
        <w:t xml:space="preserve"> 180</w:t>
      </w:r>
      <w:r w:rsidR="00031C4A"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 и ревизија</w:t>
      </w:r>
      <w:r w:rsidRPr="007279E7">
        <w:rPr>
          <w:rFonts w:ascii="Times New Roman" w:hAnsi="Times New Roman" w:cs="Times New Roman"/>
          <w:sz w:val="24"/>
          <w:szCs w:val="24"/>
          <w:lang w:val="sr-Latn-CS"/>
        </w:rPr>
        <w:t xml:space="preserve"> је настао као резултат досадашњих властитих и других искустава у високом образовању и креиран је у складу са савременим достигнућима економске науке, добром праксом и искуством високо рангираних универзитета и факултета у окружењу, Европи и свијету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и у највећем дијелу подударан са студијским програмима земаља из окружења али и земљама </w:t>
      </w:r>
      <w:r w:rsidR="002357E6" w:rsidRPr="007279E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вропске уније:</w:t>
      </w:r>
    </w:p>
    <w:p w14:paraId="29B4527B" w14:textId="6A3FBCAE" w:rsidR="0082185C" w:rsidRPr="007279E7" w:rsidRDefault="0082185C" w:rsidP="002357E6">
      <w:pPr>
        <w:pStyle w:val="TabelaStavka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5CCF35B" w14:textId="77777777" w:rsidR="0082185C" w:rsidRPr="007279E7" w:rsidRDefault="0082185C" w:rsidP="00F738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Универзитет у Новом Саду, Економски факултет Суботица; </w:t>
      </w:r>
    </w:p>
    <w:p w14:paraId="22A0A627" w14:textId="77777777" w:rsidR="0082185C" w:rsidRPr="007279E7" w:rsidRDefault="0082185C" w:rsidP="00F738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Универзитет у Бањој Луци, Економски факултет; </w:t>
      </w:r>
    </w:p>
    <w:p w14:paraId="0812F393" w14:textId="77777777" w:rsidR="0082185C" w:rsidRPr="007279E7" w:rsidRDefault="0082185C" w:rsidP="00F738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>Универзитет у Београду, Економски факултет;</w:t>
      </w:r>
    </w:p>
    <w:p w14:paraId="218FF5D3" w14:textId="77777777" w:rsidR="00F71752" w:rsidRPr="007279E7" w:rsidRDefault="00F71752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4B5AF9B" w14:textId="77777777" w:rsidR="001D182D" w:rsidRPr="007279E7" w:rsidRDefault="001D182D" w:rsidP="00641B3D">
      <w:pPr>
        <w:spacing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AB20F5B" w14:textId="0146CFD3" w:rsidR="003B7143" w:rsidRPr="007279E7" w:rsidRDefault="003B7143" w:rsidP="003B7143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bookmarkStart w:id="38" w:name="_Toc141183225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Континуирано праћење, периодична евалуација и ревизија студијског програма I циклуса </w:t>
      </w:r>
      <w:r w:rsidR="007279E7" w:rsidRPr="007279E7">
        <w:rPr>
          <w:rFonts w:ascii="Times New Roman" w:hAnsi="Times New Roman" w:cs="Times New Roman"/>
          <w:color w:val="auto"/>
          <w:sz w:val="24"/>
          <w:szCs w:val="24"/>
          <w:lang w:val="sr-Latn-RS"/>
        </w:rPr>
        <w:t>P</w:t>
      </w:r>
      <w:r w:rsidR="00031C4A" w:rsidRPr="007279E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ачуноводство и ревизија</w:t>
      </w:r>
      <w:r w:rsidR="007279E7" w:rsidRPr="007279E7">
        <w:rPr>
          <w:rFonts w:ascii="Times New Roman" w:hAnsi="Times New Roman" w:cs="Times New Roman"/>
          <w:color w:val="auto"/>
          <w:sz w:val="24"/>
          <w:szCs w:val="24"/>
          <w:lang w:val="sr-Latn-RS"/>
        </w:rPr>
        <w:t xml:space="preserve"> </w:t>
      </w:r>
      <w:r w:rsidR="002357E6" w:rsidRPr="007279E7">
        <w:rPr>
          <w:rFonts w:ascii="Times New Roman" w:hAnsi="Times New Roman" w:cs="Times New Roman"/>
          <w:color w:val="auto"/>
          <w:sz w:val="24"/>
          <w:szCs w:val="24"/>
          <w:lang w:val="sr-Latn-RS"/>
        </w:rPr>
        <w:t>180</w:t>
      </w:r>
    </w:p>
    <w:p w14:paraId="4C03F81A" w14:textId="77777777" w:rsidR="003B7143" w:rsidRPr="007279E7" w:rsidRDefault="003B7143" w:rsidP="003B7143">
      <w:pPr>
        <w:spacing w:line="276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3DFFC09" w14:textId="77777777" w:rsidR="007279E7" w:rsidRPr="007279E7" w:rsidRDefault="007279E7" w:rsidP="007279E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Студентска анкета - академска година 2022/23. </w:t>
      </w:r>
    </w:p>
    <w:p w14:paraId="02D4B453" w14:textId="77777777" w:rsidR="007279E7" w:rsidRPr="007279E7" w:rsidRDefault="007279E7" w:rsidP="007279E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b/>
          <w:sz w:val="24"/>
          <w:szCs w:val="24"/>
          <w:lang w:val="sr-Cyrl-BA"/>
        </w:rPr>
        <w:t>УПИТНИК</w:t>
      </w:r>
    </w:p>
    <w:p w14:paraId="35167978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Анкета садржи 7 тврдњи које студенти вреднују са одговорима ДА, ДЈЕЛОМИЧНО и НЕ. </w:t>
      </w:r>
    </w:p>
    <w:p w14:paraId="3A3EB59B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студијским програмом?</w:t>
      </w:r>
    </w:p>
    <w:p w14:paraId="12C9D0F4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садржином предмета на студијском програму који сте уписали?</w:t>
      </w:r>
    </w:p>
    <w:p w14:paraId="6361EBB8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распоредом часова?</w:t>
      </w:r>
    </w:p>
    <w:p w14:paraId="3E9CCBD5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радом координатора за наставу?</w:t>
      </w:r>
    </w:p>
    <w:p w14:paraId="204489FD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радним условима?</w:t>
      </w:r>
    </w:p>
    <w:p w14:paraId="006E8010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опремљеношћу и радом библиотеке?</w:t>
      </w:r>
    </w:p>
    <w:p w14:paraId="2A338E6D" w14:textId="77777777" w:rsidR="007279E7" w:rsidRPr="007279E7" w:rsidRDefault="007279E7" w:rsidP="00F738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ли сте задовољни радом студентске службе?</w:t>
      </w:r>
    </w:p>
    <w:p w14:paraId="16EBB050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AD79B54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тудентско вредновање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студијских програма, наставе и услова рада,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вршено је путем анкетирања студената.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анкети су учествовали студенти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1 циклуса програма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Рачуноводство и ревизија 180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Анкета је садржала 7 тврдњи које су студенти вредновали одговорима ДА, ДЈЕЛОМИЧНО и НЕ. </w:t>
      </w:r>
    </w:p>
    <w:p w14:paraId="6C6ED8CA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наставку слиједе оцјене наставног особља од стране студената у академској 2022/23. Анкетиран је укупно 1 (један) студент са првог циклуса студија Рачуноводство и ревизија 180 </w:t>
      </w:r>
      <w:r w:rsidRPr="007279E7">
        <w:rPr>
          <w:rFonts w:ascii="Times New Roman" w:hAnsi="Times New Roman" w:cs="Times New Roman"/>
          <w:sz w:val="24"/>
          <w:szCs w:val="24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Анкета је садржала тврдње које су понуђене на основу постављених питања.</w:t>
      </w:r>
    </w:p>
    <w:p w14:paraId="737FBBEF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59B817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014954" wp14:editId="64670922">
            <wp:extent cx="3648075" cy="1700213"/>
            <wp:effectExtent l="0" t="0" r="9525" b="1460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AF7EC00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42584D4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D653A9" wp14:editId="3C547354">
            <wp:extent cx="3695700" cy="1728788"/>
            <wp:effectExtent l="0" t="0" r="0" b="508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E65A822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CF00880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D93DCD" wp14:editId="3F24A49C">
            <wp:extent cx="3667125" cy="1690688"/>
            <wp:effectExtent l="0" t="0" r="9525" b="508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F8302C5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0E2B76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CBC4EB" wp14:editId="534E59D1">
            <wp:extent cx="3657600" cy="1719263"/>
            <wp:effectExtent l="0" t="0" r="0" b="1460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AA63D4A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689F72D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D876DF" wp14:editId="2E5541F3">
            <wp:extent cx="3657600" cy="1700213"/>
            <wp:effectExtent l="0" t="0" r="0" b="14605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5DC7B80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67AA49C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CFC159" wp14:editId="18394468">
            <wp:extent cx="3667125" cy="1709738"/>
            <wp:effectExtent l="0" t="0" r="9525" b="508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A09B69B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1AF5284" w14:textId="77777777" w:rsidR="007279E7" w:rsidRPr="007279E7" w:rsidRDefault="007279E7" w:rsidP="007279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211C9" wp14:editId="32713B37">
            <wp:extent cx="3695700" cy="1709738"/>
            <wp:effectExtent l="0" t="0" r="0" b="508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DFD75AF" w14:textId="77777777" w:rsidR="007279E7" w:rsidRPr="007279E7" w:rsidRDefault="007279E7" w:rsidP="007279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Анкетирани студент је на сва питања одговорио да је у потпуности задовољан.</w:t>
      </w:r>
    </w:p>
    <w:p w14:paraId="47B7D699" w14:textId="77777777" w:rsidR="003B7143" w:rsidRPr="007279E7" w:rsidRDefault="003B7143" w:rsidP="003B714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5AFE58" w14:textId="5884769B" w:rsidR="00F40603" w:rsidRPr="007279E7" w:rsidRDefault="00F40603" w:rsidP="00F73869">
      <w:pPr>
        <w:pStyle w:val="Heading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79E7">
        <w:rPr>
          <w:rFonts w:ascii="Times New Roman" w:hAnsi="Times New Roman" w:cs="Times New Roman"/>
          <w:color w:val="auto"/>
          <w:sz w:val="24"/>
          <w:szCs w:val="24"/>
        </w:rPr>
        <w:t>Мобилност академског особља и студената</w:t>
      </w:r>
      <w:bookmarkEnd w:id="38"/>
    </w:p>
    <w:p w14:paraId="4884783D" w14:textId="3EBE94E2" w:rsidR="00F3644F" w:rsidRPr="007279E7" w:rsidRDefault="00F3644F" w:rsidP="003B7143">
      <w:pPr>
        <w:pStyle w:val="NormalWeb"/>
        <w:spacing w:line="276" w:lineRule="auto"/>
        <w:jc w:val="both"/>
        <w:rPr>
          <w:lang w:val="ru-RU"/>
        </w:rPr>
      </w:pPr>
      <w:r w:rsidRPr="007279E7">
        <w:rPr>
          <w:lang w:val="ru-RU"/>
        </w:rPr>
        <w:t xml:space="preserve">Мобилност академског особља и студената на студијском програму се промовише и унапређује путем заједничких пријава и учешћа на пројектима са другим високошколским установама из земље и иностранства. </w:t>
      </w:r>
    </w:p>
    <w:p w14:paraId="632CD965" w14:textId="6D3B0E4C" w:rsidR="00F3644F" w:rsidRPr="007279E7" w:rsidRDefault="00F3644F" w:rsidP="00641B3D">
      <w:pPr>
        <w:pStyle w:val="NormalWeb"/>
        <w:spacing w:before="300" w:after="300" w:line="276" w:lineRule="auto"/>
        <w:jc w:val="both"/>
        <w:rPr>
          <w:lang w:val="ru-RU"/>
        </w:rPr>
      </w:pPr>
      <w:r w:rsidRPr="007279E7">
        <w:rPr>
          <w:lang w:val="sr-Cyrl-RS"/>
        </w:rPr>
        <w:t>Универзитет остварује</w:t>
      </w:r>
      <w:r w:rsidRPr="007279E7">
        <w:rPr>
          <w:lang w:val="ru-RU"/>
        </w:rPr>
        <w:t xml:space="preserve"> размјене студената са иностраним високошколским установама кроз различите програме и мреже студентске размјене уз признавање времена, оцјена и </w:t>
      </w:r>
      <w:r w:rsidRPr="007279E7">
        <w:t>ECTS</w:t>
      </w:r>
      <w:r w:rsidRPr="007279E7">
        <w:rPr>
          <w:lang w:val="ru-RU"/>
        </w:rPr>
        <w:t xml:space="preserve"> бодова остварених током </w:t>
      </w:r>
      <w:r w:rsidR="00CB4477" w:rsidRPr="007279E7">
        <w:rPr>
          <w:lang w:val="sr-Cyrl-RS"/>
        </w:rPr>
        <w:t>мобилности</w:t>
      </w:r>
      <w:r w:rsidRPr="007279E7">
        <w:rPr>
          <w:lang w:val="ru-RU"/>
        </w:rPr>
        <w:t xml:space="preserve">.  </w:t>
      </w:r>
    </w:p>
    <w:p w14:paraId="13FF18B4" w14:textId="1A759CF2" w:rsidR="005069FF" w:rsidRPr="007279E7" w:rsidRDefault="005069FF" w:rsidP="00641B3D">
      <w:pPr>
        <w:pStyle w:val="NormalWeb"/>
        <w:spacing w:before="300" w:beforeAutospacing="0" w:after="300" w:afterAutospacing="0" w:line="276" w:lineRule="auto"/>
        <w:jc w:val="both"/>
        <w:rPr>
          <w:lang w:val="ru-RU"/>
        </w:rPr>
      </w:pPr>
      <w:r w:rsidRPr="007279E7">
        <w:rPr>
          <w:lang w:val="ru-RU"/>
        </w:rPr>
        <w:t>Болоњски процес подстиче мобилност студената и наставника, омогућавајући им да студирају или предају на различитим универзитетима у Европи. Ова мобилност пружа широк спектар предности, укључујући стицање међукултурних и језичких в</w:t>
      </w:r>
      <w:r w:rsidR="00E30D8E" w:rsidRPr="007279E7">
        <w:rPr>
          <w:lang w:val="sr-Cyrl-BA"/>
        </w:rPr>
        <w:t>ј</w:t>
      </w:r>
      <w:r w:rsidRPr="007279E7">
        <w:rPr>
          <w:lang w:val="ru-RU"/>
        </w:rPr>
        <w:t>ештина.</w:t>
      </w:r>
    </w:p>
    <w:p w14:paraId="50CE7F59" w14:textId="74C1DD27" w:rsidR="00800BEC" w:rsidRPr="007279E7" w:rsidRDefault="00800BEC" w:rsidP="00641B3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Факултет промовише и подржава м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обилност академског особља и студената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 њихово даље кари</w:t>
      </w:r>
      <w:r w:rsidR="0089311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ерно напредовање и усавршавање</w:t>
      </w:r>
      <w:r w:rsidR="00893118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а према стандарду.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Промовисање мобилности наставног и студентског особља кроз програме размјене и сарадње са другим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универзитетима и институцијама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су перманентна активност а Факултет врши међусобну размјену са више високошколских установа у европском ситему образовања али и ван њега. </w:t>
      </w:r>
    </w:p>
    <w:p w14:paraId="0AC4151A" w14:textId="77777777" w:rsidR="00800BEC" w:rsidRPr="007279E7" w:rsidRDefault="00800BEC" w:rsidP="00641B3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DD8DE55" w14:textId="3364DA63" w:rsidR="00800BEC" w:rsidRPr="007279E7" w:rsidRDefault="00800BEC" w:rsidP="00641B3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Унутар европског система образовања сарадња је о</w:t>
      </w:r>
      <w:r w:rsidR="005A20C1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тварена са:</w:t>
      </w:r>
    </w:p>
    <w:p w14:paraId="0607A57E" w14:textId="5BBB8441" w:rsidR="005A20C1" w:rsidRPr="007279E7" w:rsidRDefault="00620E4F" w:rsidP="00F7386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American University of Europe - FON (AUE FON)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Skopje, North Macedonia</w:t>
      </w:r>
    </w:p>
    <w:p w14:paraId="43BB8127" w14:textId="0804167B" w:rsidR="00620E4F" w:rsidRPr="007279E7" w:rsidRDefault="00620E4F" w:rsidP="00F7386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hAnsi="Times New Roman" w:cs="Times New Roman"/>
          <w:sz w:val="24"/>
          <w:szCs w:val="24"/>
        </w:rPr>
        <w:t>University of Ludwigshafen, Germany </w:t>
      </w:r>
    </w:p>
    <w:p w14:paraId="1FDF1ED0" w14:textId="5ED4C2B1" w:rsidR="006A37AE" w:rsidRPr="007279E7" w:rsidRDefault="00167922" w:rsidP="00F7386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hAnsi="Times New Roman" w:cs="Times New Roman"/>
          <w:sz w:val="24"/>
          <w:szCs w:val="24"/>
          <w:lang w:val="sr-Latn-BA"/>
        </w:rPr>
        <w:t>Tecnical University of Cluj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279E7">
        <w:rPr>
          <w:rFonts w:ascii="Times New Roman" w:hAnsi="Times New Roman" w:cs="Times New Roman"/>
          <w:sz w:val="24"/>
          <w:szCs w:val="24"/>
          <w:lang w:val="sr-Latn-BA"/>
        </w:rPr>
        <w:t>Napoca – North University center</w:t>
      </w:r>
      <w:r w:rsidR="00AE0879" w:rsidRPr="007279E7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AE0879" w:rsidRPr="007279E7">
        <w:rPr>
          <w:rFonts w:ascii="Times New Roman" w:hAnsi="Times New Roman" w:cs="Times New Roman"/>
          <w:sz w:val="24"/>
          <w:szCs w:val="24"/>
        </w:rPr>
        <w:t>Romania</w:t>
      </w:r>
    </w:p>
    <w:p w14:paraId="568AC454" w14:textId="54A434EE" w:rsidR="00167922" w:rsidRPr="007279E7" w:rsidRDefault="00167922" w:rsidP="00F73869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79E7">
        <w:rPr>
          <w:rFonts w:ascii="Times New Roman" w:hAnsi="Times New Roman" w:cs="Times New Roman"/>
          <w:sz w:val="24"/>
          <w:szCs w:val="24"/>
        </w:rPr>
        <w:t>Politehnica University Timișoara, The Faculty of Engineering in Hunedoara</w:t>
      </w:r>
      <w:r w:rsidR="00AE0879" w:rsidRPr="007279E7">
        <w:rPr>
          <w:rFonts w:ascii="Times New Roman" w:hAnsi="Times New Roman" w:cs="Times New Roman"/>
          <w:sz w:val="24"/>
          <w:szCs w:val="24"/>
        </w:rPr>
        <w:t>, Romania</w:t>
      </w:r>
    </w:p>
    <w:p w14:paraId="58B6EBF5" w14:textId="77777777" w:rsidR="002357E6" w:rsidRPr="007279E7" w:rsidRDefault="002357E6" w:rsidP="00641B3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546781A" w14:textId="5F3393B8" w:rsidR="00800BEC" w:rsidRPr="007279E7" w:rsidRDefault="00800BEC" w:rsidP="00641B3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Ван евроспког образовног простора сарадња је на завидном нивоу са:</w:t>
      </w:r>
    </w:p>
    <w:p w14:paraId="114616B5" w14:textId="42ECF8A4" w:rsidR="00800BEC" w:rsidRPr="007279E7" w:rsidRDefault="00E30D8E" w:rsidP="00F73869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Руском акаде</w:t>
      </w:r>
      <w:r w:rsidR="00800BEC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мијом наука и умјетности</w:t>
      </w:r>
    </w:p>
    <w:p w14:paraId="3D9FC99B" w14:textId="77777777" w:rsidR="00620E4F" w:rsidRPr="007279E7" w:rsidRDefault="00620E4F" w:rsidP="00F73869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Yildiz technical university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,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Turkey </w:t>
      </w:r>
    </w:p>
    <w:p w14:paraId="5DEA6447" w14:textId="0782BD2B" w:rsidR="00620E4F" w:rsidRPr="007279E7" w:rsidRDefault="00620E4F" w:rsidP="00F73869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Changzou Normal University, China</w:t>
      </w:r>
    </w:p>
    <w:p w14:paraId="2CE81F40" w14:textId="77777777" w:rsidR="005A20C1" w:rsidRPr="007279E7" w:rsidRDefault="005A20C1" w:rsidP="00641B3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9771417" w14:textId="180B8AE4" w:rsidR="005A20C1" w:rsidRPr="007279E7" w:rsidRDefault="005A20C1" w:rsidP="006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Универзитет кроз своје организационе јединице активно сарађује  са различитим партнерима и јавно промовише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разм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ен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студената и особља у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духу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Ера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мус+ програма.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Факултет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пошт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ује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захт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еве квалитета Ера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мус повеље за високо образовање у свим аспектима који се односе на организацију и управљање мобилношћу, укључујући аутоматско признавање бодова које студентима дод</w:t>
      </w:r>
      <w:r w:rsidR="00E30D8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ј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ељује партнерска институција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Студенти добијају т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ранскрипт евиденциј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према исходима учења модула завршених у иностранству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у складу са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вропским системом преноса и акумулације бодова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док се ВШИ међусобно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договарају о разм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ени података везаних за мобилност у складу са техничким стандардима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вропске иницијативе за студентске картице.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</w:p>
    <w:p w14:paraId="3C3EEC87" w14:textId="77777777" w:rsidR="00625192" w:rsidRPr="007279E7" w:rsidRDefault="00893118" w:rsidP="006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Универзитет и Економски факултет кадровски и материјално оснажују капацитете за међународну сарадњ</w:t>
      </w:r>
      <w:r w:rsidR="00E30D8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 и двосмјерну мобилност академс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ког особља и студената. С тим у вези се води евиденција.</w:t>
      </w:r>
      <w:r w:rsidR="00625192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</w:p>
    <w:p w14:paraId="5A68BA04" w14:textId="5504BA1A" w:rsidR="00C5603E" w:rsidRPr="007279E7" w:rsidRDefault="00C5603E" w:rsidP="006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D3809">
        <w:rPr>
          <w:rFonts w:ascii="Times New Roman" w:hAnsi="Times New Roman" w:cs="Times New Roman"/>
          <w:sz w:val="24"/>
          <w:szCs w:val="24"/>
          <w:lang w:val="sr-Cyrl-RS"/>
        </w:rPr>
        <w:t>Процес трансформације високог образовања и укључивање у европски простор, како образовни тако и истраживачки, намеће потребу сарадње са другим универзитетима у иностранству, у циљу обезбјеђења услова за мобилност особља и студената, те узајамно признавање периода и степена образовања. Зато је у протеклом периоду посебна пажња посвећена уговорним односима са другим високошколским установама.</w:t>
      </w:r>
      <w:r w:rsidR="00DF3B28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Поред наведеног, постоје и споразуми са привредним субјектима о узајамној сарадњи.</w:t>
      </w:r>
    </w:p>
    <w:p w14:paraId="7EB516AC" w14:textId="77777777" w:rsidR="00C5603E" w:rsidRPr="008D3809" w:rsidRDefault="00C5603E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D3809">
        <w:rPr>
          <w:rFonts w:ascii="Times New Roman" w:hAnsi="Times New Roman" w:cs="Times New Roman"/>
          <w:sz w:val="24"/>
          <w:szCs w:val="24"/>
          <w:lang w:val="sr-Cyrl-BA"/>
        </w:rPr>
        <w:t xml:space="preserve">Међународна сарадња је централизована на нивоу Универзитета, с обзиром на то да је Универзитет интегрисана институција. Универзитет има потписано преко 40 споразума о сарадњи, што је у надлежности Ректора. </w:t>
      </w:r>
    </w:p>
    <w:p w14:paraId="0433C1EB" w14:textId="77777777" w:rsidR="00C5603E" w:rsidRPr="008D3809" w:rsidRDefault="00C5603E" w:rsidP="00641B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D3809">
        <w:rPr>
          <w:rFonts w:ascii="Times New Roman" w:hAnsi="Times New Roman" w:cs="Times New Roman"/>
          <w:sz w:val="24"/>
          <w:szCs w:val="24"/>
          <w:lang w:val="sr-Cyrl-BA"/>
        </w:rPr>
        <w:t xml:space="preserve">На Независном универзитету Бања Лука постоји одређени број студената из Републике Србије и Хрватске који су своје дошколовавање завршили на НУБЛ-у. </w:t>
      </w:r>
    </w:p>
    <w:p w14:paraId="3C055652" w14:textId="50A30A8B" w:rsidR="00C5603E" w:rsidRPr="007279E7" w:rsidRDefault="00C5603E" w:rsidP="006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D3809">
        <w:rPr>
          <w:rFonts w:ascii="Times New Roman" w:hAnsi="Times New Roman" w:cs="Times New Roman"/>
          <w:sz w:val="24"/>
          <w:szCs w:val="24"/>
          <w:lang w:val="sr-Cyrl-BA"/>
        </w:rPr>
        <w:t>Универзитет подупире све облике међународне сарадње, а све међународне активности морају бити у складу с мисијом, визијом и стратешким циљевима.</w:t>
      </w:r>
    </w:p>
    <w:p w14:paraId="61DC7E90" w14:textId="498248B7" w:rsidR="00F40603" w:rsidRPr="007279E7" w:rsidRDefault="00F40603" w:rsidP="00641B3D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41183226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ОЦЈЕНА СИСТЕМА ОСИГУРАЊА КВАЛИТЕТА</w:t>
      </w:r>
      <w:bookmarkEnd w:id="39"/>
      <w:r w:rsidRPr="007279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B8A9EDF" w14:textId="77777777" w:rsidR="00086F4D" w:rsidRPr="007279E7" w:rsidRDefault="00086F4D" w:rsidP="00641B3D">
      <w:pPr>
        <w:pStyle w:val="TabelaStavka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FBA0E18" w14:textId="10E80C29" w:rsidR="00F8772D" w:rsidRPr="007279E7" w:rsidRDefault="00F8772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Критерији и начини обезбјеђења квалитета на </w:t>
      </w:r>
      <w:r w:rsidR="003663C0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Економском факултету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Лука, као и поступци интерног надзора и ревизије, прописани су Статутом, Стратегијом обезбјеђења квалитета и Правилником о обезбјеђењу и унапређњу квалитета и о поступку самовредновања. У поступку самовредновања (самоевалуације), </w:t>
      </w:r>
      <w:r w:rsidR="007A781E" w:rsidRPr="007279E7">
        <w:rPr>
          <w:rFonts w:ascii="Times New Roman" w:hAnsi="Times New Roman" w:cs="Times New Roman"/>
          <w:sz w:val="24"/>
          <w:szCs w:val="24"/>
          <w:lang w:val="sr-Cyrl-BA"/>
        </w:rPr>
        <w:t>Економски факултет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поступа у складу са Упутством о самоевалуацији које је сачинио Савјет за развој високог образовања и осигурање квалитета али и у складу са приједлозима и савјетима Агенције за акредитацију ВШУ РС.</w:t>
      </w:r>
    </w:p>
    <w:p w14:paraId="59F6B629" w14:textId="31272AA1" w:rsidR="00F8772D" w:rsidRPr="007279E7" w:rsidRDefault="00F8772D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Квалитет </w:t>
      </w:r>
      <w:r w:rsidR="00893C6F" w:rsidRPr="007279E7">
        <w:rPr>
          <w:rFonts w:ascii="Times New Roman" w:hAnsi="Times New Roman" w:cs="Times New Roman"/>
          <w:sz w:val="24"/>
          <w:szCs w:val="24"/>
          <w:lang w:val="sr-Cyrl-BA"/>
        </w:rPr>
        <w:t>студијског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програма обезбјеђује се кроз праћење и провјеру његових циљева, структуре, радног оптерећења студената, као и осавремењивање садржаја и стално прикупљање информација о квалитету програма од одговарајућих организација из окружења</w:t>
      </w:r>
      <w:r w:rsidR="00CB4477" w:rsidRPr="007279E7">
        <w:rPr>
          <w:rFonts w:ascii="Times New Roman" w:hAnsi="Times New Roman" w:cs="Times New Roman"/>
          <w:sz w:val="24"/>
          <w:szCs w:val="24"/>
          <w:lang w:val="sr-Cyrl-BA"/>
        </w:rPr>
        <w:t>. П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утем анонимне анкете која представља дио самоевалуционог процеса на</w:t>
      </w:r>
      <w:r w:rsidR="003663C0"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Економском факултету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 спроводи се праћење успјешности и квалитета наставе.</w:t>
      </w:r>
    </w:p>
    <w:p w14:paraId="5083B62C" w14:textId="496EA628" w:rsidR="007A781E" w:rsidRPr="007279E7" w:rsidRDefault="007A781E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Да би се направила оцјена система осигурања квалитета студијског програма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спровели смо евалуацију у складу са стандардима и смјерницама за осигурање квалитета високог образовања. Овај процес је укључио следеће кораке:</w:t>
      </w:r>
    </w:p>
    <w:p w14:paraId="67F09990" w14:textId="08B682C8" w:rsidR="007A781E" w:rsidRPr="007279E7" w:rsidRDefault="00A414B1" w:rsidP="00F73869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Адекватна припрема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-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Дефиниса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н</w:t>
      </w:r>
      <w:r w:rsidR="007A781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 с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у сврха</w:t>
      </w:r>
      <w:r w:rsidR="007A781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и циљев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 евалуације, идентификован</w:t>
      </w:r>
      <w:r w:rsidR="007A781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и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су</w:t>
      </w:r>
      <w:r w:rsidR="007A781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стандард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</w:t>
      </w:r>
      <w:r w:rsidR="007A781E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и смјернице које се примењују у контексту Болоњског процеса. </w:t>
      </w:r>
    </w:p>
    <w:p w14:paraId="14401284" w14:textId="7D9AE4FA" w:rsidR="007A781E" w:rsidRPr="007279E7" w:rsidRDefault="007A781E" w:rsidP="00F73869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Прикупљање података: </w:t>
      </w:r>
      <w:r w:rsidR="00A414B1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Обједињени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су подаци о програму студија, наставним плановима и програм</w:t>
      </w:r>
      <w:r w:rsidR="003663C0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ма, методама наставе и учења, процјени учења, евалуацији наставног особља, ресурсима и инфраструктури, сарадњи са привредом и друштвеном заједницом, те другим релевантним аспектима.</w:t>
      </w:r>
    </w:p>
    <w:p w14:paraId="79130653" w14:textId="23B836F4" w:rsidR="007A781E" w:rsidRPr="007279E7" w:rsidRDefault="007A781E" w:rsidP="00F73869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Анализа података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Анализирани су прикупљени подаци како би се идентификовале снаге, слабости, могућности и пријетње програма студија. Ово је укључивало провјеру усклађености са стандардима и смјерницама, процјену постигнутих исхода учења, квалитет наставе и учења, ресурсе и инфраструктуру, као и сарадњу са привредом и друштвеном заједницом.</w:t>
      </w:r>
    </w:p>
    <w:p w14:paraId="69E69D14" w14:textId="258CB456" w:rsidR="007A781E" w:rsidRPr="007279E7" w:rsidRDefault="007A781E" w:rsidP="00F73869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Оцјена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На основу анализе података извршена је оцјена система осигурања квалитета факултета, у оквиру које смо идентификовали јаке стране студијског програма, области које захтијевају побољшања и препоруке за даље дјеловање.</w:t>
      </w:r>
    </w:p>
    <w:p w14:paraId="4F24FD14" w14:textId="29B1F148" w:rsidR="007A781E" w:rsidRPr="007279E7" w:rsidRDefault="007A781E" w:rsidP="00F73869">
      <w:pPr>
        <w:pStyle w:val="ListParagraph"/>
        <w:numPr>
          <w:ilvl w:val="0"/>
          <w:numId w:val="43"/>
        </w:numPr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Извјештавање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-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Састављен је извјештај о оцјени система осигурања квалитета, укључујући евалуацију резултата, идентификоване су снаге и слабости, препоруке за унапређење и план акције.</w:t>
      </w:r>
    </w:p>
    <w:p w14:paraId="2CB3FA5E" w14:textId="77777777" w:rsidR="00CB4477" w:rsidRPr="007279E7" w:rsidRDefault="00CB4477" w:rsidP="00F73869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51BB6B0F" w14:textId="57A85B3B" w:rsidR="00F40603" w:rsidRPr="007279E7" w:rsidRDefault="00F40603" w:rsidP="00641B3D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41183227"/>
      <w:r w:rsidRPr="007279E7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ЗАКЉУЧАК</w:t>
      </w:r>
      <w:bookmarkEnd w:id="40"/>
    </w:p>
    <w:p w14:paraId="72173B8F" w14:textId="77777777" w:rsidR="009C0853" w:rsidRPr="007279E7" w:rsidRDefault="009C0853" w:rsidP="00641B3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A73C74" w14:textId="3B438D11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На основу Извјештаја о само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евалуацији студијског прогама другог циклуса </w:t>
      </w:r>
      <w:r w:rsidR="00031C4A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Рачуноводство и ревизија</w:t>
      </w:r>
      <w:r w:rsidR="002357E6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180 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евидентно је да је студијски програм успјешно објединио и примјенио стандарде за акредитацију студијског програма првог циклуса.</w:t>
      </w:r>
    </w:p>
    <w:p w14:paraId="6266D1EC" w14:textId="53B2C0F7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Студијски програм </w:t>
      </w:r>
      <w:r w:rsidR="00031C4A" w:rsidRPr="007279E7">
        <w:rPr>
          <w:rFonts w:ascii="Times New Roman" w:hAnsi="Times New Roman" w:cs="Times New Roman"/>
          <w:sz w:val="24"/>
          <w:szCs w:val="24"/>
          <w:lang w:val="ru-RU"/>
        </w:rPr>
        <w:t>Рачуноводство и ревизија</w:t>
      </w:r>
      <w:r w:rsidR="002357E6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180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је структуриран и усклађен са захтјевима Болоњског процеса, са јасно дефинисаним циљевима и резултатима учења.</w:t>
      </w:r>
      <w:r w:rsidR="002D0C2F" w:rsidRPr="002D0C2F">
        <w:t xml:space="preserve"> </w:t>
      </w:r>
      <w:r w:rsidR="002D0C2F" w:rsidRPr="002D0C2F">
        <w:rPr>
          <w:rFonts w:ascii="Times New Roman" w:hAnsi="Times New Roman" w:cs="Times New Roman"/>
          <w:sz w:val="24"/>
          <w:szCs w:val="24"/>
          <w:lang w:val="ru-RU"/>
        </w:rPr>
        <w:t>Eфективан систем подршке студентима омогућава њихову активну партиципацију у процесу учења, као и у доношењу одлука које се тичу њиховог образовања.</w:t>
      </w:r>
    </w:p>
    <w:p w14:paraId="1D903A61" w14:textId="697D3E0C" w:rsidR="005F2D0A" w:rsidRPr="007279E7" w:rsidRDefault="002D0C2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C2F">
        <w:rPr>
          <w:rFonts w:ascii="Times New Roman" w:hAnsi="Times New Roman" w:cs="Times New Roman"/>
          <w:sz w:val="24"/>
          <w:szCs w:val="24"/>
          <w:lang w:val="ru-RU"/>
        </w:rPr>
        <w:t xml:space="preserve">Студијски програм Менаџмент 180 ЕЦТС има неколико јаких страна, као што су ангажовање квалификованог наставног особља, добра инфраструктура и доступност релевантних ресурса за учење. Захваљујући успостављеним везама са привредом и друштвеним партнерима, студентима је пружена могућност за стицање практичних вјештина и примјену знања у стварном свијету. Треба напоменути да овдје има простора за значајно унапређење, упркос неповољним условима региона по питању стања у привреди. Ту се првенствено мисли на иновирање студијског програма према стандардима и потребама тржишта. У том смислу јавља се потреба за организовањем округлих столова са представницима привреде, а са циљем унапређења студијског програма и задовољавања потреба тржишта рада за излазним профилима, као и стеченим вјештинама и компетенцијама студената.   </w:t>
      </w:r>
    </w:p>
    <w:p w14:paraId="411C6771" w14:textId="77777777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Током евалуације су идентификоване и области које захтијевају унапређење, као што су даље побољшање методе наставе и учења, евалуација учења, као и промоција истраживачког рада и иновација међу студентима. Препоруке за даље дјеловање могу обухватити развој нових наставних метода, јачање сарадње у индустрији ради осигуравања програма, као и унапређење система праћења и подршке студентима.</w:t>
      </w:r>
    </w:p>
    <w:p w14:paraId="4F78F57A" w14:textId="798D413F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Наставни кадар перманентно напредује на пољу научно-истраживачког рада и учешћа у пројектним активностима. </w:t>
      </w:r>
      <w:r w:rsidRPr="008D3809">
        <w:rPr>
          <w:rFonts w:ascii="Times New Roman" w:hAnsi="Times New Roman" w:cs="Times New Roman"/>
          <w:sz w:val="24"/>
          <w:szCs w:val="24"/>
          <w:lang w:val="sr-Cyrl-RS"/>
        </w:rPr>
        <w:t xml:space="preserve">Основни недостатак јесте да се, осим наставе, наставници не ангажују у писању пројеката који би допринијели развоју програма али и финансијском побољшању тренутног стања на 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>Економскокм факултету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предмета. </w:t>
      </w:r>
    </w:p>
    <w:p w14:paraId="6E6E2029" w14:textId="029DF49A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 наставном процесу </w:t>
      </w:r>
      <w:r w:rsidR="00A414B1" w:rsidRPr="007279E7">
        <w:rPr>
          <w:rFonts w:ascii="Times New Roman" w:hAnsi="Times New Roman" w:cs="Times New Roman"/>
          <w:sz w:val="24"/>
          <w:szCs w:val="24"/>
          <w:lang w:val="ru-RU"/>
        </w:rPr>
        <w:t>треба даље унапређивати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однос са студентима, односно </w:t>
      </w:r>
      <w:r w:rsidR="00A414B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додатно подстицати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њихово активније учешће у самом наставном процесу </w:t>
      </w:r>
      <w:r w:rsidR="00A414B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те њихову пасивност и незаинтересованост свести на најмању могућу мјеру.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Наставници </w:t>
      </w:r>
      <w:r w:rsidR="00A414B1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морају пратити методичке иновације у циљу активнијег учешћа студената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>у процес</w:t>
      </w:r>
      <w:r w:rsidR="00A414B1" w:rsidRPr="007279E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савладавања градива. </w:t>
      </w:r>
    </w:p>
    <w:p w14:paraId="11D4B2BE" w14:textId="25E9D366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Настава се изводи према програму који је усвојен и лиценциран. Распореди предавања су објављени на вријеме а поред извођења редовне наставе, сваки наставник </w:t>
      </w:r>
      <w:r w:rsidR="00117FAD"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објављује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термин 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појединачних консултација за студенте да би се градиво око кога постоји било каква нејасноћа, на вријеме са професором или сарадником, отклонила.</w:t>
      </w:r>
    </w:p>
    <w:p w14:paraId="20F8E186" w14:textId="2D334564" w:rsidR="008C727F" w:rsidRPr="007279E7" w:rsidRDefault="005F2D0A" w:rsidP="00641B3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Студијски програм је великим дијелом усаглашен са сличним студијским програмима иностраних високошколских установа, од којих је довољан број са европског образовног простора. </w:t>
      </w:r>
    </w:p>
    <w:p w14:paraId="22F9CB5F" w14:textId="77777777" w:rsidR="002357E6" w:rsidRPr="007279E7" w:rsidRDefault="002357E6" w:rsidP="00641B3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CFDE5A" w14:textId="1862C1DA" w:rsidR="008C727F" w:rsidRDefault="008C727F" w:rsidP="00641B3D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Информацијама о студијском програму се управља на проактиван и ефикасан начин од самог почетка реализације наставе у семестру. Информације се дијеле правовремено и директно као и путем представника студената у студентским тијелима. Овај стандард се мора и даље унапређивати</w:t>
      </w:r>
      <w:r w:rsidR="00117FAD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Економски факултет прати трендове комуницирања које студенти користе а све у циљу успостављања квалитетних канала комуникације. </w:t>
      </w:r>
    </w:p>
    <w:p w14:paraId="1FB38916" w14:textId="3F9C3E29" w:rsidR="002D0C2F" w:rsidRPr="007279E7" w:rsidRDefault="002D0C2F" w:rsidP="00641B3D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2D0C2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На промоцији факултета, односно студијског програма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Рачуноводство и ревизија</w:t>
      </w:r>
      <w:r w:rsidRPr="002D0C2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180 ЕЦТС треба још активније порадити и учинити их доступнијим, како на територији БиХ, тако и шире. У том смислу користити све канале комуницирања које користе потенцијални студенти (првенствено иновирати web страницу НУБЛ-а и друштвене мреже), а на основу сугестија које студенти кроз разговор пренесу наставном кадру.</w:t>
      </w:r>
    </w:p>
    <w:p w14:paraId="01252CE4" w14:textId="0598D25A" w:rsidR="008C727F" w:rsidRPr="007279E7" w:rsidRDefault="008C727F" w:rsidP="00641B3D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Студијски програм је транспарентно представљен и јав</w:t>
      </w:r>
      <w:r w:rsidR="0003737D"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но доступан јавности. Напосредн</w:t>
      </w: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 окружење је у прилици да да мишљење на све елементе студијског прогама још у фази припреме и израде елабората за студијски програм. Евентуалне измјене студијског програма су јавно доступне. Одговорни наставници на студијском програму јавно објављују своје научне картоне те јавност има увид и у политику људских ресурса на студијском програму. Студијски програм се континуирано прати те уз периодичну евалуацију и ревизију унапређује садржај предмета, унапређује извођење наставе и врши ревизија.</w:t>
      </w:r>
    </w:p>
    <w:p w14:paraId="52CA7F0A" w14:textId="77777777" w:rsidR="0003737D" w:rsidRPr="007279E7" w:rsidRDefault="0003737D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CB02B07" w14:textId="0A37D0CB" w:rsidR="005F2D0A" w:rsidRPr="007279E7" w:rsidRDefault="008C727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Мобилност академског особља и студената се перманентно промовише и подржава. Факултет финансијски подржава мобилност наставника и омогућава услове за рад на пољу сарадње са другим ВШИ.</w:t>
      </w:r>
    </w:p>
    <w:p w14:paraId="3D6FAF31" w14:textId="55B5D850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>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</w:t>
      </w:r>
      <w:r w:rsidR="0003737D" w:rsidRPr="007279E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раду.</w:t>
      </w:r>
    </w:p>
    <w:p w14:paraId="217050F2" w14:textId="77777777" w:rsidR="008C727F" w:rsidRPr="007279E7" w:rsidRDefault="008C727F" w:rsidP="00641B3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279E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Упис студената на студијски програм се врши у складу са законом и јасним и транспарентним критеријумима. Признавање и сертификовање се врши према усвојеним актима Универзитета. Перманентно се врши праћење рада студената што се статистички приказује и анализира.</w:t>
      </w:r>
    </w:p>
    <w:p w14:paraId="00A0CA30" w14:textId="3F086BE7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Универзитет је својим актима регулисао оцјењивање студената у испуњавању предиспитних обавеза и на испиту. Правилима студирања је предвиђено да се рад и знање студента прати и да се оцјењује континуирано у току семестра и на завршном испиту. Студенту се додјељују бодови за сваки издвојени облик провјере рада и оцјене знања, у складу са </w:t>
      </w:r>
      <w:r w:rsidR="00DF5FC1" w:rsidRPr="007279E7">
        <w:rPr>
          <w:rFonts w:ascii="Times New Roman" w:hAnsi="Times New Roman" w:cs="Times New Roman"/>
          <w:sz w:val="24"/>
          <w:szCs w:val="24"/>
          <w:lang w:val="ru-RU"/>
        </w:rPr>
        <w:t>ECTS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правилима. </w:t>
      </w:r>
    </w:p>
    <w:p w14:paraId="33794FAE" w14:textId="77777777" w:rsidR="005F2D0A" w:rsidRPr="007279E7" w:rsidRDefault="005F2D0A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Облици и начин провјере знања се спроводе у складу са Законом и општим актима Универзитета. Пролазност студената је задовољавајућа.</w:t>
      </w:r>
    </w:p>
    <w:p w14:paraId="22FE4A8F" w14:textId="43B7F57F" w:rsidR="008C727F" w:rsidRDefault="008C727F" w:rsidP="00641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3809">
        <w:rPr>
          <w:rFonts w:ascii="Times New Roman" w:hAnsi="Times New Roman" w:cs="Times New Roman"/>
          <w:sz w:val="24"/>
          <w:szCs w:val="24"/>
          <w:lang w:val="ru-RU"/>
        </w:rPr>
        <w:t>Сарадња и координација са студентском службом и другим службама и органима Универзитета (оцјена стања и могућности побољшања)</w:t>
      </w:r>
      <w:r w:rsidRPr="007279E7">
        <w:rPr>
          <w:rFonts w:ascii="Times New Roman" w:hAnsi="Times New Roman" w:cs="Times New Roman"/>
          <w:sz w:val="24"/>
          <w:szCs w:val="24"/>
          <w:lang w:val="sr-Cyrl-BA"/>
        </w:rPr>
        <w:t xml:space="preserve">.  </w:t>
      </w:r>
      <w:r w:rsidRPr="008D3809">
        <w:rPr>
          <w:rFonts w:ascii="Times New Roman" w:hAnsi="Times New Roman" w:cs="Times New Roman"/>
          <w:sz w:val="24"/>
          <w:szCs w:val="24"/>
          <w:lang w:val="sr-Cyrl-BA"/>
        </w:rPr>
        <w:t xml:space="preserve">Сарадња </w:t>
      </w:r>
      <w:r w:rsidRPr="007279E7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факултета </w:t>
      </w:r>
      <w:r w:rsidRPr="008D3809">
        <w:rPr>
          <w:rFonts w:ascii="Times New Roman" w:hAnsi="Times New Roman" w:cs="Times New Roman"/>
          <w:sz w:val="24"/>
          <w:szCs w:val="24"/>
          <w:lang w:val="sr-Cyrl-BA"/>
        </w:rPr>
        <w:t xml:space="preserve">са студентском службом је задовољавајућа. </w:t>
      </w:r>
    </w:p>
    <w:p w14:paraId="62F003FF" w14:textId="77777777" w:rsidR="0048552E" w:rsidRPr="0048552E" w:rsidRDefault="0048552E" w:rsidP="0048552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52E">
        <w:rPr>
          <w:rFonts w:ascii="Times New Roman" w:hAnsi="Times New Roman" w:cs="Times New Roman"/>
          <w:sz w:val="24"/>
          <w:szCs w:val="24"/>
          <w:lang w:val="ru-RU"/>
        </w:rPr>
        <w:t xml:space="preserve">Оно што се на крају може издвојити, а као слаба страна је тренд све мањег уписа студената, гледано на период задњих десет година. Ово је проблематика о којој се треба разговарати на нивоу управе НУБЛ-а. Примјетан је пад уписа броја студената на студијском програму у претходном периоду.  Ову тврдњу потврђује негативан тренд за претходни период у Републици Српској, како посматрајући број студената у високошколском образовању, тако и броја средњошколаца. </w:t>
      </w:r>
    </w:p>
    <w:p w14:paraId="2CD64081" w14:textId="77777777" w:rsidR="0048552E" w:rsidRPr="0048552E" w:rsidRDefault="0048552E" w:rsidP="0048552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52E">
        <w:rPr>
          <w:rFonts w:ascii="Times New Roman" w:hAnsi="Times New Roman" w:cs="Times New Roman"/>
          <w:sz w:val="24"/>
          <w:szCs w:val="24"/>
          <w:lang w:val="ru-RU"/>
        </w:rPr>
        <w:t xml:space="preserve">Наставно особље економског факултета, студијског програма економија и пословање, активно су укључени и доприносе раду издавачке дјелатности нашег часописа Сварог од уредништва, рецензија као и достављања научно-истраживачких радова. Један од приједлога за унапређење наставног и истраживачког процеса, да се сва наредна издања, и  сви објављени радови од 2023. године у часопису Сварог, објављују искључиво на енглеском језику, ради унапређења и рангирања часописа. </w:t>
      </w:r>
    </w:p>
    <w:p w14:paraId="5836F922" w14:textId="61CA23CA" w:rsidR="0048552E" w:rsidRDefault="0048552E" w:rsidP="0048552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52E">
        <w:rPr>
          <w:rFonts w:ascii="Times New Roman" w:hAnsi="Times New Roman" w:cs="Times New Roman"/>
          <w:sz w:val="24"/>
          <w:szCs w:val="24"/>
          <w:lang w:val="ru-RU"/>
        </w:rPr>
        <w:t>Наставно особље економског факултета, остварили су допринос учешћем у научној конференцији ФРЕСКА – одржане и организоване од стране универзитета, новембра 2022.године, гдје је језик конференције енглески.</w:t>
      </w:r>
    </w:p>
    <w:p w14:paraId="22CBE1B0" w14:textId="77777777" w:rsidR="0048552E" w:rsidRDefault="0048552E" w:rsidP="0048552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_GoBack"/>
      <w:bookmarkEnd w:id="41"/>
    </w:p>
    <w:p w14:paraId="7A4835B9" w14:textId="434564C0" w:rsidR="005F2D0A" w:rsidRPr="007279E7" w:rsidRDefault="005F2D0A" w:rsidP="00641B3D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Укупно гледано, </w:t>
      </w:r>
      <w:r w:rsidR="008C727F" w:rsidRPr="007279E7">
        <w:rPr>
          <w:rFonts w:ascii="Times New Roman" w:hAnsi="Times New Roman" w:cs="Times New Roman"/>
          <w:sz w:val="24"/>
          <w:szCs w:val="24"/>
          <w:lang w:val="ru-RU"/>
        </w:rPr>
        <w:t>Економски факултет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има </w:t>
      </w:r>
      <w:r w:rsidR="00A414B1" w:rsidRPr="007279E7">
        <w:rPr>
          <w:rFonts w:ascii="Times New Roman" w:hAnsi="Times New Roman" w:cs="Times New Roman"/>
          <w:sz w:val="24"/>
          <w:szCs w:val="24"/>
          <w:lang w:val="ru-RU"/>
        </w:rPr>
        <w:t>успостављен</w:t>
      </w:r>
      <w:r w:rsidRPr="007279E7">
        <w:rPr>
          <w:rFonts w:ascii="Times New Roman" w:hAnsi="Times New Roman" w:cs="Times New Roman"/>
          <w:sz w:val="24"/>
          <w:szCs w:val="24"/>
          <w:lang w:val="ru-RU"/>
        </w:rPr>
        <w:t xml:space="preserve"> систем квалитета осигурања, али постоји простор за даље унапређење и усклађивање са најбољим праксама у високом образовању. Оцјена система осигурања квалитета пружа смјернице за даље акције и напоре Факултета у циљу побољшања квалитета образовања и испуњавања циљева Болоњског процеса.</w:t>
      </w:r>
    </w:p>
    <w:sectPr w:rsidR="005F2D0A" w:rsidRPr="007279E7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487574" w16cid:durableId="71487574"/>
  <w16cid:commentId w16cid:paraId="3B7D7082" w16cid:durableId="3B7D70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04D1" w14:textId="77777777" w:rsidR="00261BE2" w:rsidRDefault="00261BE2" w:rsidP="00893118">
      <w:pPr>
        <w:spacing w:after="0" w:line="240" w:lineRule="auto"/>
      </w:pPr>
      <w:r>
        <w:separator/>
      </w:r>
    </w:p>
  </w:endnote>
  <w:endnote w:type="continuationSeparator" w:id="0">
    <w:p w14:paraId="33A23F92" w14:textId="77777777" w:rsidR="00261BE2" w:rsidRDefault="00261BE2" w:rsidP="0089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973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7F5FB5" w14:textId="52C5F7F7" w:rsidR="008D3809" w:rsidRDefault="008D3809">
            <w:pPr>
              <w:pStyle w:val="Footer"/>
              <w:jc w:val="right"/>
            </w:pPr>
            <w:r>
              <w:rPr>
                <w:lang w:val="sr-Latn-CS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52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r-Latn-C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52E">
              <w:rPr>
                <w:b/>
                <w:bCs/>
                <w:noProof/>
              </w:rPr>
              <w:t>65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0DB810" w14:textId="77777777" w:rsidR="008D3809" w:rsidRDefault="008D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90F9" w14:textId="77777777" w:rsidR="00261BE2" w:rsidRDefault="00261BE2" w:rsidP="00893118">
      <w:pPr>
        <w:spacing w:after="0" w:line="240" w:lineRule="auto"/>
      </w:pPr>
      <w:r>
        <w:separator/>
      </w:r>
    </w:p>
  </w:footnote>
  <w:footnote w:type="continuationSeparator" w:id="0">
    <w:p w14:paraId="293C4503" w14:textId="77777777" w:rsidR="00261BE2" w:rsidRDefault="00261BE2" w:rsidP="0089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F4F"/>
    <w:multiLevelType w:val="hybridMultilevel"/>
    <w:tmpl w:val="AF5E522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5FA"/>
    <w:multiLevelType w:val="hybridMultilevel"/>
    <w:tmpl w:val="D9FE7CC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4D2A"/>
    <w:multiLevelType w:val="hybridMultilevel"/>
    <w:tmpl w:val="1A5CA50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BE9"/>
    <w:multiLevelType w:val="hybridMultilevel"/>
    <w:tmpl w:val="E85A766C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F6361"/>
    <w:multiLevelType w:val="hybridMultilevel"/>
    <w:tmpl w:val="C94026E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3A7A"/>
    <w:multiLevelType w:val="hybridMultilevel"/>
    <w:tmpl w:val="20C485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204D"/>
    <w:multiLevelType w:val="hybridMultilevel"/>
    <w:tmpl w:val="E932CA72"/>
    <w:lvl w:ilvl="0" w:tplc="6FB6F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1816"/>
    <w:multiLevelType w:val="hybridMultilevel"/>
    <w:tmpl w:val="6DE44DA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63C0"/>
    <w:multiLevelType w:val="hybridMultilevel"/>
    <w:tmpl w:val="F0CED68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91B3E"/>
    <w:multiLevelType w:val="multilevel"/>
    <w:tmpl w:val="BA166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E047F5"/>
    <w:multiLevelType w:val="hybridMultilevel"/>
    <w:tmpl w:val="A4B8A730"/>
    <w:lvl w:ilvl="0" w:tplc="1C24F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3BB4"/>
    <w:multiLevelType w:val="hybridMultilevel"/>
    <w:tmpl w:val="231664C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53F49"/>
    <w:multiLevelType w:val="hybridMultilevel"/>
    <w:tmpl w:val="0FA22F84"/>
    <w:lvl w:ilvl="0" w:tplc="FFFFFFFF">
      <w:start w:val="1"/>
      <w:numFmt w:val="bullet"/>
      <w:lvlText w:val="-"/>
      <w:lvlJc w:val="left"/>
      <w:pPr>
        <w:ind w:left="1004" w:hanging="360"/>
      </w:p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D25574"/>
    <w:multiLevelType w:val="hybridMultilevel"/>
    <w:tmpl w:val="132CBD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4709"/>
    <w:multiLevelType w:val="hybridMultilevel"/>
    <w:tmpl w:val="BE5203B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14F91"/>
    <w:multiLevelType w:val="hybridMultilevel"/>
    <w:tmpl w:val="59F8030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013B5"/>
    <w:multiLevelType w:val="hybridMultilevel"/>
    <w:tmpl w:val="966AE83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03797"/>
    <w:multiLevelType w:val="hybridMultilevel"/>
    <w:tmpl w:val="B4081FEE"/>
    <w:lvl w:ilvl="0" w:tplc="1C24F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B3C44"/>
    <w:multiLevelType w:val="hybridMultilevel"/>
    <w:tmpl w:val="2C62065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D4CB9"/>
    <w:multiLevelType w:val="hybridMultilevel"/>
    <w:tmpl w:val="4A76109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61E2C"/>
    <w:multiLevelType w:val="multilevel"/>
    <w:tmpl w:val="9B104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3952564"/>
    <w:multiLevelType w:val="hybridMultilevel"/>
    <w:tmpl w:val="324C1F4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86F0F"/>
    <w:multiLevelType w:val="hybridMultilevel"/>
    <w:tmpl w:val="B544A8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D372C"/>
    <w:multiLevelType w:val="hybridMultilevel"/>
    <w:tmpl w:val="DB96871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83942"/>
    <w:multiLevelType w:val="hybridMultilevel"/>
    <w:tmpl w:val="7E1A488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3196B"/>
    <w:multiLevelType w:val="hybridMultilevel"/>
    <w:tmpl w:val="88DCE66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71AC0"/>
    <w:multiLevelType w:val="hybridMultilevel"/>
    <w:tmpl w:val="4BAC8598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850A55"/>
    <w:multiLevelType w:val="hybridMultilevel"/>
    <w:tmpl w:val="0EC854D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B51C4"/>
    <w:multiLevelType w:val="hybridMultilevel"/>
    <w:tmpl w:val="F266D52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C7400"/>
    <w:multiLevelType w:val="hybridMultilevel"/>
    <w:tmpl w:val="4610651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30A85"/>
    <w:multiLevelType w:val="hybridMultilevel"/>
    <w:tmpl w:val="A420CFB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4322D"/>
    <w:multiLevelType w:val="hybridMultilevel"/>
    <w:tmpl w:val="5F4AFC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A2684"/>
    <w:multiLevelType w:val="hybridMultilevel"/>
    <w:tmpl w:val="AB94B9B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6633C"/>
    <w:multiLevelType w:val="hybridMultilevel"/>
    <w:tmpl w:val="A1D02AA0"/>
    <w:lvl w:ilvl="0" w:tplc="CA5CA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5813"/>
    <w:multiLevelType w:val="hybridMultilevel"/>
    <w:tmpl w:val="A36CCD84"/>
    <w:lvl w:ilvl="0" w:tplc="FFFFFFFF">
      <w:start w:val="1"/>
      <w:numFmt w:val="bullet"/>
      <w:lvlText w:val="-"/>
      <w:lvlJc w:val="left"/>
      <w:pPr>
        <w:ind w:left="78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4F454848"/>
    <w:multiLevelType w:val="hybridMultilevel"/>
    <w:tmpl w:val="7552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C50BC4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742F"/>
    <w:multiLevelType w:val="multilevel"/>
    <w:tmpl w:val="12165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BC49B0"/>
    <w:multiLevelType w:val="hybridMultilevel"/>
    <w:tmpl w:val="AD6A33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24200"/>
    <w:multiLevelType w:val="hybridMultilevel"/>
    <w:tmpl w:val="CE5AEC9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34123"/>
    <w:multiLevelType w:val="hybridMultilevel"/>
    <w:tmpl w:val="5ECE5BCA"/>
    <w:lvl w:ilvl="0" w:tplc="1C24F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3C07"/>
    <w:multiLevelType w:val="hybridMultilevel"/>
    <w:tmpl w:val="5620797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67415"/>
    <w:multiLevelType w:val="hybridMultilevel"/>
    <w:tmpl w:val="E042BF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7176C"/>
    <w:multiLevelType w:val="hybridMultilevel"/>
    <w:tmpl w:val="87B24AD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D4C79"/>
    <w:multiLevelType w:val="hybridMultilevel"/>
    <w:tmpl w:val="007023B6"/>
    <w:lvl w:ilvl="0" w:tplc="E87A3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D4398"/>
    <w:multiLevelType w:val="hybridMultilevel"/>
    <w:tmpl w:val="76F65F3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9"/>
  </w:num>
  <w:num w:numId="5">
    <w:abstractNumId w:val="17"/>
  </w:num>
  <w:num w:numId="6">
    <w:abstractNumId w:val="20"/>
  </w:num>
  <w:num w:numId="7">
    <w:abstractNumId w:val="36"/>
  </w:num>
  <w:num w:numId="8">
    <w:abstractNumId w:val="35"/>
  </w:num>
  <w:num w:numId="9">
    <w:abstractNumId w:val="9"/>
  </w:num>
  <w:num w:numId="10">
    <w:abstractNumId w:val="28"/>
  </w:num>
  <w:num w:numId="11">
    <w:abstractNumId w:val="4"/>
  </w:num>
  <w:num w:numId="12">
    <w:abstractNumId w:val="13"/>
  </w:num>
  <w:num w:numId="13">
    <w:abstractNumId w:val="37"/>
  </w:num>
  <w:num w:numId="14">
    <w:abstractNumId w:val="24"/>
  </w:num>
  <w:num w:numId="15">
    <w:abstractNumId w:val="0"/>
  </w:num>
  <w:num w:numId="16">
    <w:abstractNumId w:val="40"/>
  </w:num>
  <w:num w:numId="17">
    <w:abstractNumId w:val="22"/>
  </w:num>
  <w:num w:numId="18">
    <w:abstractNumId w:val="23"/>
  </w:num>
  <w:num w:numId="19">
    <w:abstractNumId w:val="1"/>
  </w:num>
  <w:num w:numId="20">
    <w:abstractNumId w:val="29"/>
  </w:num>
  <w:num w:numId="21">
    <w:abstractNumId w:val="18"/>
  </w:num>
  <w:num w:numId="22">
    <w:abstractNumId w:val="11"/>
  </w:num>
  <w:num w:numId="23">
    <w:abstractNumId w:val="44"/>
  </w:num>
  <w:num w:numId="24">
    <w:abstractNumId w:val="3"/>
  </w:num>
  <w:num w:numId="25">
    <w:abstractNumId w:val="26"/>
  </w:num>
  <w:num w:numId="26">
    <w:abstractNumId w:val="15"/>
  </w:num>
  <w:num w:numId="27">
    <w:abstractNumId w:val="41"/>
  </w:num>
  <w:num w:numId="28">
    <w:abstractNumId w:val="38"/>
  </w:num>
  <w:num w:numId="29">
    <w:abstractNumId w:val="21"/>
  </w:num>
  <w:num w:numId="30">
    <w:abstractNumId w:val="34"/>
  </w:num>
  <w:num w:numId="31">
    <w:abstractNumId w:val="12"/>
  </w:num>
  <w:num w:numId="32">
    <w:abstractNumId w:val="33"/>
  </w:num>
  <w:num w:numId="33">
    <w:abstractNumId w:val="43"/>
  </w:num>
  <w:num w:numId="34">
    <w:abstractNumId w:val="30"/>
  </w:num>
  <w:num w:numId="35">
    <w:abstractNumId w:val="7"/>
  </w:num>
  <w:num w:numId="36">
    <w:abstractNumId w:val="14"/>
  </w:num>
  <w:num w:numId="37">
    <w:abstractNumId w:val="32"/>
  </w:num>
  <w:num w:numId="38">
    <w:abstractNumId w:val="19"/>
  </w:num>
  <w:num w:numId="39">
    <w:abstractNumId w:val="2"/>
  </w:num>
  <w:num w:numId="40">
    <w:abstractNumId w:val="31"/>
  </w:num>
  <w:num w:numId="41">
    <w:abstractNumId w:val="25"/>
  </w:num>
  <w:num w:numId="42">
    <w:abstractNumId w:val="27"/>
  </w:num>
  <w:num w:numId="43">
    <w:abstractNumId w:val="16"/>
  </w:num>
  <w:num w:numId="44">
    <w:abstractNumId w:val="42"/>
  </w:num>
  <w:num w:numId="4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03"/>
    <w:rsid w:val="00005E76"/>
    <w:rsid w:val="00012DD6"/>
    <w:rsid w:val="000278B2"/>
    <w:rsid w:val="00031C4A"/>
    <w:rsid w:val="00034B39"/>
    <w:rsid w:val="00035AD8"/>
    <w:rsid w:val="0003737D"/>
    <w:rsid w:val="00044AFB"/>
    <w:rsid w:val="00044E43"/>
    <w:rsid w:val="00052F5C"/>
    <w:rsid w:val="00060DC8"/>
    <w:rsid w:val="00063FEF"/>
    <w:rsid w:val="00086F4D"/>
    <w:rsid w:val="000904CB"/>
    <w:rsid w:val="00092109"/>
    <w:rsid w:val="000A7817"/>
    <w:rsid w:val="000B2065"/>
    <w:rsid w:val="000B5B8B"/>
    <w:rsid w:val="000C4935"/>
    <w:rsid w:val="000E563C"/>
    <w:rsid w:val="001057EF"/>
    <w:rsid w:val="00117FAD"/>
    <w:rsid w:val="001213F7"/>
    <w:rsid w:val="001251BC"/>
    <w:rsid w:val="001651E8"/>
    <w:rsid w:val="00167922"/>
    <w:rsid w:val="00177395"/>
    <w:rsid w:val="001775FD"/>
    <w:rsid w:val="00180A96"/>
    <w:rsid w:val="00183C3A"/>
    <w:rsid w:val="00193557"/>
    <w:rsid w:val="00193FBD"/>
    <w:rsid w:val="00194F62"/>
    <w:rsid w:val="0019567F"/>
    <w:rsid w:val="001973D0"/>
    <w:rsid w:val="001A7FBA"/>
    <w:rsid w:val="001B50A6"/>
    <w:rsid w:val="001C4D4B"/>
    <w:rsid w:val="001C519B"/>
    <w:rsid w:val="001D182D"/>
    <w:rsid w:val="001F1A82"/>
    <w:rsid w:val="002047D1"/>
    <w:rsid w:val="00207AE2"/>
    <w:rsid w:val="0021577D"/>
    <w:rsid w:val="0022118E"/>
    <w:rsid w:val="002221B9"/>
    <w:rsid w:val="00225624"/>
    <w:rsid w:val="00231590"/>
    <w:rsid w:val="002357E6"/>
    <w:rsid w:val="0024539F"/>
    <w:rsid w:val="00261BE2"/>
    <w:rsid w:val="002776A7"/>
    <w:rsid w:val="00283FC3"/>
    <w:rsid w:val="00284E7F"/>
    <w:rsid w:val="00286550"/>
    <w:rsid w:val="002B324D"/>
    <w:rsid w:val="002B4180"/>
    <w:rsid w:val="002D0C2F"/>
    <w:rsid w:val="002D2618"/>
    <w:rsid w:val="002F7CB3"/>
    <w:rsid w:val="00314548"/>
    <w:rsid w:val="00325544"/>
    <w:rsid w:val="00334CB6"/>
    <w:rsid w:val="003410A3"/>
    <w:rsid w:val="00342A05"/>
    <w:rsid w:val="00347C0A"/>
    <w:rsid w:val="003518FE"/>
    <w:rsid w:val="00362B3C"/>
    <w:rsid w:val="00363002"/>
    <w:rsid w:val="003663C0"/>
    <w:rsid w:val="00370D2B"/>
    <w:rsid w:val="00386167"/>
    <w:rsid w:val="00392380"/>
    <w:rsid w:val="003A6E32"/>
    <w:rsid w:val="003B5C2D"/>
    <w:rsid w:val="003B7143"/>
    <w:rsid w:val="003C330A"/>
    <w:rsid w:val="003D00A4"/>
    <w:rsid w:val="003D7428"/>
    <w:rsid w:val="003D792F"/>
    <w:rsid w:val="003E3C80"/>
    <w:rsid w:val="003E7D13"/>
    <w:rsid w:val="003F4C97"/>
    <w:rsid w:val="003F59B6"/>
    <w:rsid w:val="004014DE"/>
    <w:rsid w:val="00402DE7"/>
    <w:rsid w:val="00404717"/>
    <w:rsid w:val="00404C24"/>
    <w:rsid w:val="00413525"/>
    <w:rsid w:val="004262A2"/>
    <w:rsid w:val="00426B70"/>
    <w:rsid w:val="00430784"/>
    <w:rsid w:val="00442ADA"/>
    <w:rsid w:val="00446802"/>
    <w:rsid w:val="00451D4A"/>
    <w:rsid w:val="00465B1F"/>
    <w:rsid w:val="0048552E"/>
    <w:rsid w:val="00485A78"/>
    <w:rsid w:val="00486033"/>
    <w:rsid w:val="00491C4F"/>
    <w:rsid w:val="0049634D"/>
    <w:rsid w:val="004A0920"/>
    <w:rsid w:val="004B6FBB"/>
    <w:rsid w:val="004D4C17"/>
    <w:rsid w:val="004E108B"/>
    <w:rsid w:val="004F14A1"/>
    <w:rsid w:val="004F63CF"/>
    <w:rsid w:val="0050352F"/>
    <w:rsid w:val="005069FF"/>
    <w:rsid w:val="0050756B"/>
    <w:rsid w:val="005123E7"/>
    <w:rsid w:val="005271D4"/>
    <w:rsid w:val="00531217"/>
    <w:rsid w:val="0054685F"/>
    <w:rsid w:val="00556EF6"/>
    <w:rsid w:val="005667A2"/>
    <w:rsid w:val="00567256"/>
    <w:rsid w:val="0057419B"/>
    <w:rsid w:val="00580CF4"/>
    <w:rsid w:val="00587B54"/>
    <w:rsid w:val="005A1269"/>
    <w:rsid w:val="005A20C1"/>
    <w:rsid w:val="005C017C"/>
    <w:rsid w:val="005C54CD"/>
    <w:rsid w:val="005D34DA"/>
    <w:rsid w:val="005D614B"/>
    <w:rsid w:val="005E2727"/>
    <w:rsid w:val="005F2D0A"/>
    <w:rsid w:val="00606180"/>
    <w:rsid w:val="00616F76"/>
    <w:rsid w:val="00620E4F"/>
    <w:rsid w:val="00625192"/>
    <w:rsid w:val="006257C8"/>
    <w:rsid w:val="00627451"/>
    <w:rsid w:val="006417B7"/>
    <w:rsid w:val="00641B3D"/>
    <w:rsid w:val="00644824"/>
    <w:rsid w:val="00645D9F"/>
    <w:rsid w:val="00662C69"/>
    <w:rsid w:val="006874F1"/>
    <w:rsid w:val="00690701"/>
    <w:rsid w:val="006A2FC1"/>
    <w:rsid w:val="006A37AE"/>
    <w:rsid w:val="006C3435"/>
    <w:rsid w:val="006E0BC4"/>
    <w:rsid w:val="00700943"/>
    <w:rsid w:val="00700EDB"/>
    <w:rsid w:val="007279E7"/>
    <w:rsid w:val="00747049"/>
    <w:rsid w:val="00753869"/>
    <w:rsid w:val="00765678"/>
    <w:rsid w:val="00766DD9"/>
    <w:rsid w:val="00771DF7"/>
    <w:rsid w:val="0077490B"/>
    <w:rsid w:val="00777157"/>
    <w:rsid w:val="00780F77"/>
    <w:rsid w:val="007844FA"/>
    <w:rsid w:val="00786E9D"/>
    <w:rsid w:val="00792184"/>
    <w:rsid w:val="00797FA8"/>
    <w:rsid w:val="007A781E"/>
    <w:rsid w:val="007D34A4"/>
    <w:rsid w:val="007E09F1"/>
    <w:rsid w:val="00800BEC"/>
    <w:rsid w:val="0080109E"/>
    <w:rsid w:val="00802307"/>
    <w:rsid w:val="00802ABA"/>
    <w:rsid w:val="00807DD3"/>
    <w:rsid w:val="0082185C"/>
    <w:rsid w:val="00832C64"/>
    <w:rsid w:val="00835912"/>
    <w:rsid w:val="00847149"/>
    <w:rsid w:val="00852A64"/>
    <w:rsid w:val="0085517A"/>
    <w:rsid w:val="00862258"/>
    <w:rsid w:val="00867BE9"/>
    <w:rsid w:val="00870BD5"/>
    <w:rsid w:val="00891058"/>
    <w:rsid w:val="00893118"/>
    <w:rsid w:val="00893C6F"/>
    <w:rsid w:val="00897B16"/>
    <w:rsid w:val="008B53DE"/>
    <w:rsid w:val="008B61E5"/>
    <w:rsid w:val="008C3BE0"/>
    <w:rsid w:val="008C727F"/>
    <w:rsid w:val="008D0252"/>
    <w:rsid w:val="008D3809"/>
    <w:rsid w:val="008E560D"/>
    <w:rsid w:val="008F0664"/>
    <w:rsid w:val="008F293D"/>
    <w:rsid w:val="008F4068"/>
    <w:rsid w:val="0090407C"/>
    <w:rsid w:val="009474E4"/>
    <w:rsid w:val="00947CC0"/>
    <w:rsid w:val="009555A8"/>
    <w:rsid w:val="00956C75"/>
    <w:rsid w:val="009633B1"/>
    <w:rsid w:val="00970797"/>
    <w:rsid w:val="00972E97"/>
    <w:rsid w:val="009866BC"/>
    <w:rsid w:val="00995F69"/>
    <w:rsid w:val="009B0DFD"/>
    <w:rsid w:val="009C0853"/>
    <w:rsid w:val="009D74B0"/>
    <w:rsid w:val="009F67A5"/>
    <w:rsid w:val="009F68C9"/>
    <w:rsid w:val="00A02AAA"/>
    <w:rsid w:val="00A15929"/>
    <w:rsid w:val="00A27422"/>
    <w:rsid w:val="00A4062C"/>
    <w:rsid w:val="00A414B1"/>
    <w:rsid w:val="00A46194"/>
    <w:rsid w:val="00A559EF"/>
    <w:rsid w:val="00A576C6"/>
    <w:rsid w:val="00A7061B"/>
    <w:rsid w:val="00A77953"/>
    <w:rsid w:val="00A9437B"/>
    <w:rsid w:val="00AB0CB0"/>
    <w:rsid w:val="00AB61DB"/>
    <w:rsid w:val="00AB7D15"/>
    <w:rsid w:val="00AE02B3"/>
    <w:rsid w:val="00AE057C"/>
    <w:rsid w:val="00AE0879"/>
    <w:rsid w:val="00AE0AD9"/>
    <w:rsid w:val="00AE1B68"/>
    <w:rsid w:val="00AE3E6E"/>
    <w:rsid w:val="00AE562C"/>
    <w:rsid w:val="00AF5FC2"/>
    <w:rsid w:val="00B04CC6"/>
    <w:rsid w:val="00B1339F"/>
    <w:rsid w:val="00B16126"/>
    <w:rsid w:val="00B27EE9"/>
    <w:rsid w:val="00B4048F"/>
    <w:rsid w:val="00B452B2"/>
    <w:rsid w:val="00B515C4"/>
    <w:rsid w:val="00B67FDA"/>
    <w:rsid w:val="00B76FC8"/>
    <w:rsid w:val="00B8004B"/>
    <w:rsid w:val="00BA051D"/>
    <w:rsid w:val="00BA4BF2"/>
    <w:rsid w:val="00BE74A7"/>
    <w:rsid w:val="00BF06C5"/>
    <w:rsid w:val="00C34717"/>
    <w:rsid w:val="00C475D4"/>
    <w:rsid w:val="00C5603E"/>
    <w:rsid w:val="00C60077"/>
    <w:rsid w:val="00C7210B"/>
    <w:rsid w:val="00C90687"/>
    <w:rsid w:val="00C9583B"/>
    <w:rsid w:val="00CB4477"/>
    <w:rsid w:val="00CD072D"/>
    <w:rsid w:val="00D01C27"/>
    <w:rsid w:val="00D028EB"/>
    <w:rsid w:val="00D037B7"/>
    <w:rsid w:val="00D353E6"/>
    <w:rsid w:val="00D477A8"/>
    <w:rsid w:val="00D521DB"/>
    <w:rsid w:val="00D5525A"/>
    <w:rsid w:val="00D61356"/>
    <w:rsid w:val="00D65DEC"/>
    <w:rsid w:val="00D717AC"/>
    <w:rsid w:val="00D75429"/>
    <w:rsid w:val="00D7660F"/>
    <w:rsid w:val="00D9137B"/>
    <w:rsid w:val="00DB30D5"/>
    <w:rsid w:val="00DB5883"/>
    <w:rsid w:val="00DB641F"/>
    <w:rsid w:val="00DE0BD2"/>
    <w:rsid w:val="00DE59E0"/>
    <w:rsid w:val="00DE737A"/>
    <w:rsid w:val="00DF3B28"/>
    <w:rsid w:val="00DF5FC1"/>
    <w:rsid w:val="00E13FC0"/>
    <w:rsid w:val="00E1419F"/>
    <w:rsid w:val="00E178D7"/>
    <w:rsid w:val="00E2022E"/>
    <w:rsid w:val="00E30D8E"/>
    <w:rsid w:val="00E36491"/>
    <w:rsid w:val="00E372CA"/>
    <w:rsid w:val="00E37FCA"/>
    <w:rsid w:val="00E518EE"/>
    <w:rsid w:val="00E56BEB"/>
    <w:rsid w:val="00E63129"/>
    <w:rsid w:val="00E70D4C"/>
    <w:rsid w:val="00E829BC"/>
    <w:rsid w:val="00E939E9"/>
    <w:rsid w:val="00EA3255"/>
    <w:rsid w:val="00EB47A4"/>
    <w:rsid w:val="00ED2E94"/>
    <w:rsid w:val="00EF719D"/>
    <w:rsid w:val="00F02AE1"/>
    <w:rsid w:val="00F04BAF"/>
    <w:rsid w:val="00F04CD7"/>
    <w:rsid w:val="00F14E8E"/>
    <w:rsid w:val="00F154F8"/>
    <w:rsid w:val="00F26401"/>
    <w:rsid w:val="00F27B5F"/>
    <w:rsid w:val="00F323D9"/>
    <w:rsid w:val="00F3644F"/>
    <w:rsid w:val="00F366FD"/>
    <w:rsid w:val="00F37053"/>
    <w:rsid w:val="00F40603"/>
    <w:rsid w:val="00F45F87"/>
    <w:rsid w:val="00F46FE2"/>
    <w:rsid w:val="00F71752"/>
    <w:rsid w:val="00F7250D"/>
    <w:rsid w:val="00F73869"/>
    <w:rsid w:val="00F77161"/>
    <w:rsid w:val="00F8772D"/>
    <w:rsid w:val="00F91FEB"/>
    <w:rsid w:val="00F94AE7"/>
    <w:rsid w:val="00FA43F3"/>
    <w:rsid w:val="00FA503C"/>
    <w:rsid w:val="00FC5500"/>
    <w:rsid w:val="00FC5C16"/>
    <w:rsid w:val="00FD2170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51F1"/>
  <w15:chartTrackingRefBased/>
  <w15:docId w15:val="{F0DEBF88-2829-47F6-8061-5694E57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7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60F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  <w:lang w:val="sr-Latn-B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603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:lang w:val="sr-Latn-B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603"/>
    <w:pPr>
      <w:keepNext/>
      <w:keepLines/>
      <w:spacing w:before="40" w:after="0" w:line="276" w:lineRule="auto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kern w:val="0"/>
      <w:sz w:val="24"/>
      <w:szCs w:val="24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60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sr-Latn-BA"/>
    </w:rPr>
  </w:style>
  <w:style w:type="character" w:customStyle="1" w:styleId="Heading3Char">
    <w:name w:val="Heading 3 Char"/>
    <w:basedOn w:val="DefaultParagraphFont"/>
    <w:link w:val="Heading3"/>
    <w:uiPriority w:val="9"/>
    <w:rsid w:val="00F4060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sr-Latn-BA"/>
    </w:rPr>
  </w:style>
  <w:style w:type="paragraph" w:styleId="NormalWeb">
    <w:name w:val="Normal (Web)"/>
    <w:basedOn w:val="Normal"/>
    <w:uiPriority w:val="99"/>
    <w:unhideWhenUsed/>
    <w:rsid w:val="00F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603"/>
    <w:pPr>
      <w:ind w:left="720"/>
      <w:contextualSpacing/>
    </w:pPr>
  </w:style>
  <w:style w:type="table" w:styleId="TableGrid">
    <w:name w:val="Table Grid"/>
    <w:basedOn w:val="TableNormal"/>
    <w:qFormat/>
    <w:rsid w:val="00F4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FC3"/>
    <w:pPr>
      <w:spacing w:after="0" w:line="240" w:lineRule="auto"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C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0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A20C1"/>
  </w:style>
  <w:style w:type="paragraph" w:styleId="Header">
    <w:name w:val="header"/>
    <w:basedOn w:val="Normal"/>
    <w:link w:val="HeaderChar"/>
    <w:uiPriority w:val="99"/>
    <w:unhideWhenUsed/>
    <w:rsid w:val="0089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1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9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18"/>
    <w:rPr>
      <w:kern w:val="2"/>
      <w14:ligatures w14:val="standardContextual"/>
    </w:rPr>
  </w:style>
  <w:style w:type="character" w:styleId="Hyperlink">
    <w:name w:val="Hyperlink"/>
    <w:uiPriority w:val="99"/>
    <w:rsid w:val="00F8772D"/>
    <w:rPr>
      <w:color w:val="0000FF"/>
      <w:u w:val="single"/>
    </w:rPr>
  </w:style>
  <w:style w:type="paragraph" w:customStyle="1" w:styleId="TabelaStavka">
    <w:name w:val="Tabela Stavka"/>
    <w:basedOn w:val="Normal"/>
    <w:qFormat/>
    <w:rsid w:val="00F8772D"/>
    <w:pPr>
      <w:spacing w:after="0" w:line="240" w:lineRule="auto"/>
      <w:ind w:left="724" w:hanging="724"/>
    </w:pPr>
    <w:rPr>
      <w:rFonts w:ascii="Arial" w:eastAsia="Times" w:hAnsi="Arial" w:cs="Arial"/>
      <w:kern w:val="0"/>
      <w:sz w:val="20"/>
      <w:szCs w:val="20"/>
      <w:lang w:val="bs-Cyrl-BA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766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sr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40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4DE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4DE"/>
    <w:rPr>
      <w:b/>
      <w:bCs/>
      <w:kern w:val="2"/>
      <w:sz w:val="20"/>
      <w:szCs w:val="20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2221B9"/>
    <w:pPr>
      <w:spacing w:line="259" w:lineRule="auto"/>
      <w:jc w:val="left"/>
      <w:outlineLvl w:val="9"/>
    </w:pPr>
    <w:rPr>
      <w:b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221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221B9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00943"/>
    <w:pPr>
      <w:spacing w:after="100"/>
    </w:pPr>
    <w:rPr>
      <w:rFonts w:eastAsiaTheme="minorEastAsia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65B1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E09F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04C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9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8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1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yperlink" Target="file:///C:\Users\User\Ekologija%20RA\Prateci%20dokumenti\Formalno-pravna%20akta\Pravilnik%20donosenje%20i%20evaulacija%20Studij.programa%20NUBL.pdf" TargetMode="External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chart" Target="charts/chart6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bl.org/wp-content/uploads/2023/07/Pravilnik-o-postupku-ekvivalencije-2023.pdf" TargetMode="External"/><Relationship Id="rId24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chart" Target="charts/chart4.xml"/><Relationship Id="rId28" Type="http://schemas.openxmlformats.org/officeDocument/2006/relationships/fontTable" Target="fontTable.xml"/><Relationship Id="rId10" Type="http://schemas.openxmlformats.org/officeDocument/2006/relationships/hyperlink" Target="https://nubl.org/wp-content/uploads/2023/05/pravila-studranja-na-prvom-i-drugom-ciklusu-studija.pdf" TargetMode="External"/><Relationship Id="rId19" Type="http://schemas.openxmlformats.org/officeDocument/2006/relationships/hyperlink" Target="file:///C:\Users\User\Ekologija%20RA\Prateci%20dokumenti\Samoevaluacija\Obrasci%20upitnika%20za%20vrednovanje%20programa%20(1)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chart" Target="charts/chart3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oran%20&#272;uri&#269;i&#263;\Desktop\Studenti%202022-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студијским програмом?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layout>
        <c:manualLayout>
          <c:xMode val="edge"/>
          <c:yMode val="edge"/>
          <c:x val="0.1158748906386701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99-44FC-926A-3AADB0F2304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99-44FC-926A-3AADB0F2304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99-44FC-926A-3AADB0F23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'!$C$14:$C$16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'!$D$14:$D$16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99-44FC-926A-3AADB0F23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48681472"/>
        <c:axId val="-348682016"/>
      </c:barChart>
      <c:catAx>
        <c:axId val="-34868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48682016"/>
        <c:crosses val="autoZero"/>
        <c:auto val="1"/>
        <c:lblAlgn val="ctr"/>
        <c:lblOffset val="100"/>
        <c:noMultiLvlLbl val="0"/>
      </c:catAx>
      <c:valAx>
        <c:axId val="-3486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4868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садржином предмета на студијском програму који сте уписали?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layout>
        <c:manualLayout>
          <c:xMode val="edge"/>
          <c:yMode val="edge"/>
          <c:x val="0.1114444444444444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'!$C$20:$C$22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'!$D$20:$D$22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E3-45E5-B991-902002B37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48688544"/>
        <c:axId val="-348684192"/>
      </c:barChart>
      <c:catAx>
        <c:axId val="-34868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48684192"/>
        <c:crosses val="autoZero"/>
        <c:auto val="1"/>
        <c:lblAlgn val="ctr"/>
        <c:lblOffset val="100"/>
        <c:noMultiLvlLbl val="0"/>
      </c:catAx>
      <c:valAx>
        <c:axId val="-3486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4868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распоредом часова?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'!$C$26:$C$28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'!$D$26:$D$28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A0-428A-A652-762CB5090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48684736"/>
        <c:axId val="-348683648"/>
      </c:barChart>
      <c:catAx>
        <c:axId val="-3486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48683648"/>
        <c:crosses val="autoZero"/>
        <c:auto val="1"/>
        <c:lblAlgn val="ctr"/>
        <c:lblOffset val="100"/>
        <c:noMultiLvlLbl val="0"/>
      </c:catAx>
      <c:valAx>
        <c:axId val="-34868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4868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радом координатора за наставу?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'!$C$32:$C$34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'!$D$32:$D$34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1-4A62-8F44-E556BAA18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43384832"/>
        <c:axId val="-443384288"/>
      </c:barChart>
      <c:catAx>
        <c:axId val="-44338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43384288"/>
        <c:crosses val="autoZero"/>
        <c:auto val="1"/>
        <c:lblAlgn val="ctr"/>
        <c:lblOffset val="100"/>
        <c:noMultiLvlLbl val="0"/>
      </c:catAx>
      <c:valAx>
        <c:axId val="-44338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4338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радним условима?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'!$C$38:$C$40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'!$D$38:$D$40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8-4977-9B76-44B9477F3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43387552"/>
        <c:axId val="-443386464"/>
      </c:barChart>
      <c:catAx>
        <c:axId val="-44338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43386464"/>
        <c:crosses val="autoZero"/>
        <c:auto val="1"/>
        <c:lblAlgn val="ctr"/>
        <c:lblOffset val="100"/>
        <c:noMultiLvlLbl val="0"/>
      </c:catAx>
      <c:valAx>
        <c:axId val="-4433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4338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опремљеношћу и радом библиотеке?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'!$C$44:$C$46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'!$D$44:$D$46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3E-4E18-95B1-D12A323A4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58411360"/>
        <c:axId val="-263880880"/>
      </c:barChart>
      <c:catAx>
        <c:axId val="-95841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63880880"/>
        <c:crosses val="autoZero"/>
        <c:auto val="1"/>
        <c:lblAlgn val="ctr"/>
        <c:lblOffset val="100"/>
        <c:noMultiLvlLbl val="0"/>
      </c:catAx>
      <c:valAx>
        <c:axId val="-26388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841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 b="0" i="0" u="none" strike="noStrike" baseline="0">
                <a:effectLst/>
              </a:rPr>
              <a:t>Да ли сте задовољни радом студентске службе?</a:t>
            </a:r>
            <a:r>
              <a:rPr lang="sr-Cyrl-BA" sz="1200" b="0" i="0" u="none" strike="noStrike" baseline="0"/>
              <a:t>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'3+2 РР услови '!$C$50:$C$52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'3+2 РР услови '!$D$50:$D$52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74-4211-8DB0-3976BAF84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63879792"/>
        <c:axId val="-263879248"/>
      </c:barChart>
      <c:catAx>
        <c:axId val="-26387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63879248"/>
        <c:crosses val="autoZero"/>
        <c:auto val="1"/>
        <c:lblAlgn val="ctr"/>
        <c:lblOffset val="100"/>
        <c:noMultiLvlLbl val="0"/>
      </c:catAx>
      <c:valAx>
        <c:axId val="-26387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6387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1E7D-2635-444D-9CF2-FC61EF2D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18552</Words>
  <Characters>105750</Characters>
  <Application>Microsoft Office Word</Application>
  <DocSecurity>0</DocSecurity>
  <Lines>881</Lines>
  <Paragraphs>248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Ruzica</cp:lastModifiedBy>
  <cp:revision>7</cp:revision>
  <cp:lastPrinted>2024-11-07T12:07:00Z</cp:lastPrinted>
  <dcterms:created xsi:type="dcterms:W3CDTF">2024-12-26T11:32:00Z</dcterms:created>
  <dcterms:modified xsi:type="dcterms:W3CDTF">2024-12-30T13:26:00Z</dcterms:modified>
</cp:coreProperties>
</file>